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7A87" w:rsidRPr="00C87A87" w:rsidRDefault="00C87A87" w:rsidP="00C87A87">
      <w:pPr>
        <w:jc w:val="center"/>
        <w:rPr>
          <w:rStyle w:val="BookTitle"/>
          <w:lang w:val="en-US"/>
        </w:rPr>
      </w:pPr>
      <w:r w:rsidRPr="00C87A87">
        <w:rPr>
          <w:rStyle w:val="BookTitle"/>
          <w:lang w:val="en-US"/>
        </w:rPr>
        <w:t>DTL Faraday Cups CDR</w:t>
      </w:r>
    </w:p>
    <w:p w:rsidR="00C87A87" w:rsidRPr="00C87A87" w:rsidRDefault="00C87A87" w:rsidP="00C87A87">
      <w:pPr>
        <w:jc w:val="center"/>
        <w:rPr>
          <w:rStyle w:val="BookTitle"/>
          <w:lang w:val="en-US"/>
        </w:rPr>
      </w:pPr>
      <w:r w:rsidRPr="00C87A87">
        <w:rPr>
          <w:rStyle w:val="BookTitle"/>
          <w:lang w:val="en-US"/>
        </w:rPr>
        <w:t>Lund 2018 Dec 13</w:t>
      </w:r>
    </w:p>
    <w:p w:rsidR="00C87A87" w:rsidRPr="00C87A87" w:rsidRDefault="00C87A87" w:rsidP="00C87A87">
      <w:pPr>
        <w:jc w:val="center"/>
        <w:rPr>
          <w:rStyle w:val="BookTitle"/>
          <w:lang w:val="en-US"/>
        </w:rPr>
      </w:pPr>
    </w:p>
    <w:p w:rsidR="00C87A87" w:rsidRPr="00C87A87" w:rsidRDefault="00C87A87" w:rsidP="00C87A87">
      <w:pPr>
        <w:rPr>
          <w:lang w:val="en-US"/>
        </w:rPr>
      </w:pPr>
      <w:r w:rsidRPr="00C87A87">
        <w:rPr>
          <w:rStyle w:val="BookTitle"/>
          <w:i w:val="0"/>
          <w:iCs w:val="0"/>
          <w:lang w:val="en-US"/>
        </w:rPr>
        <w:t xml:space="preserve">Review committee: </w:t>
      </w:r>
      <w:r w:rsidRPr="00C87A87">
        <w:rPr>
          <w:lang w:val="en-US"/>
        </w:rPr>
        <w:t xml:space="preserve">Mamad Eshraqi, Inigo Alonso, Riccardo Bevilacqua, Frank </w:t>
      </w:r>
      <w:proofErr w:type="spellStart"/>
      <w:r w:rsidRPr="00C87A87">
        <w:rPr>
          <w:lang w:val="en-US"/>
        </w:rPr>
        <w:t>Hellström</w:t>
      </w:r>
      <w:proofErr w:type="spellEnd"/>
      <w:r w:rsidRPr="00C87A87">
        <w:rPr>
          <w:lang w:val="en-US"/>
        </w:rPr>
        <w:t xml:space="preserve">, </w:t>
      </w:r>
    </w:p>
    <w:p w:rsidR="00C87A87" w:rsidRPr="00C87A87" w:rsidRDefault="00C87A87" w:rsidP="00C87A87">
      <w:pPr>
        <w:rPr>
          <w:lang w:val="en-US"/>
        </w:rPr>
      </w:pPr>
      <w:proofErr w:type="spellStart"/>
      <w:r w:rsidRPr="00C87A87">
        <w:rPr>
          <w:lang w:val="en-US"/>
        </w:rPr>
        <w:t>Szandra</w:t>
      </w:r>
      <w:proofErr w:type="spellEnd"/>
      <w:r w:rsidRPr="00C87A87">
        <w:rPr>
          <w:lang w:val="en-US"/>
        </w:rPr>
        <w:t xml:space="preserve"> </w:t>
      </w:r>
      <w:proofErr w:type="spellStart"/>
      <w:r w:rsidRPr="00C87A87">
        <w:rPr>
          <w:lang w:val="en-US"/>
        </w:rPr>
        <w:t>Kövecses</w:t>
      </w:r>
      <w:proofErr w:type="spellEnd"/>
      <w:r w:rsidRPr="00C87A87">
        <w:rPr>
          <w:lang w:val="en-US"/>
        </w:rPr>
        <w:t xml:space="preserve">, Ryoichi Miyamoto, </w:t>
      </w:r>
      <w:r w:rsidR="00280D69" w:rsidRPr="00C87A87">
        <w:rPr>
          <w:lang w:val="en-US"/>
        </w:rPr>
        <w:t>Simone Scolari</w:t>
      </w:r>
      <w:r w:rsidR="00280D69">
        <w:rPr>
          <w:lang w:val="en-US"/>
        </w:rPr>
        <w:t xml:space="preserve">, </w:t>
      </w:r>
      <w:r w:rsidRPr="00C87A87">
        <w:rPr>
          <w:lang w:val="en-US"/>
        </w:rPr>
        <w:t xml:space="preserve">Thomas </w:t>
      </w:r>
      <w:proofErr w:type="spellStart"/>
      <w:r w:rsidRPr="00C87A87">
        <w:rPr>
          <w:lang w:val="en-US"/>
        </w:rPr>
        <w:t>Shea</w:t>
      </w:r>
      <w:proofErr w:type="spellEnd"/>
      <w:r w:rsidRPr="00C87A87">
        <w:rPr>
          <w:lang w:val="en-US"/>
        </w:rPr>
        <w:t xml:space="preserve"> </w:t>
      </w:r>
    </w:p>
    <w:p w:rsidR="00C87A87" w:rsidRPr="00C87A87" w:rsidRDefault="00C87A87" w:rsidP="00C87A87">
      <w:pPr>
        <w:rPr>
          <w:lang w:val="en-US"/>
        </w:rPr>
      </w:pPr>
    </w:p>
    <w:p w:rsidR="00C87A87" w:rsidRPr="00C87A87" w:rsidRDefault="00C87A87" w:rsidP="00C87A87">
      <w:pPr>
        <w:rPr>
          <w:lang w:val="en-US"/>
        </w:rPr>
      </w:pPr>
      <w:r w:rsidRPr="00C87A87">
        <w:rPr>
          <w:rStyle w:val="BookTitle"/>
          <w:i w:val="0"/>
          <w:iCs w:val="0"/>
          <w:lang w:val="en-US"/>
        </w:rPr>
        <w:t xml:space="preserve">Presenters: </w:t>
      </w:r>
      <w:r w:rsidR="00280D69" w:rsidRPr="00C87A87">
        <w:rPr>
          <w:lang w:val="en-US"/>
        </w:rPr>
        <w:t xml:space="preserve">Clement </w:t>
      </w:r>
      <w:proofErr w:type="spellStart"/>
      <w:r w:rsidR="00280D69" w:rsidRPr="00C87A87">
        <w:rPr>
          <w:lang w:val="en-US"/>
        </w:rPr>
        <w:t>Derrez</w:t>
      </w:r>
      <w:proofErr w:type="spellEnd"/>
      <w:r w:rsidR="00280D69" w:rsidRPr="00C87A87">
        <w:rPr>
          <w:lang w:val="en-US"/>
        </w:rPr>
        <w:t xml:space="preserve">, </w:t>
      </w:r>
      <w:r w:rsidRPr="00C87A87">
        <w:rPr>
          <w:lang w:val="en-US"/>
        </w:rPr>
        <w:t xml:space="preserve">Elena </w:t>
      </w:r>
      <w:proofErr w:type="spellStart"/>
      <w:r w:rsidRPr="00C87A87">
        <w:rPr>
          <w:lang w:val="en-US"/>
        </w:rPr>
        <w:t>Donegani</w:t>
      </w:r>
      <w:proofErr w:type="spellEnd"/>
      <w:r w:rsidRPr="00C87A87">
        <w:rPr>
          <w:lang w:val="en-US"/>
        </w:rPr>
        <w:t>,</w:t>
      </w:r>
      <w:r w:rsidR="00280D69" w:rsidRPr="00280D69">
        <w:rPr>
          <w:lang w:val="en-US"/>
        </w:rPr>
        <w:t xml:space="preserve"> </w:t>
      </w:r>
      <w:r w:rsidR="00280D69" w:rsidRPr="00C87A87">
        <w:rPr>
          <w:lang w:val="en-US"/>
        </w:rPr>
        <w:t>Thomas Fay</w:t>
      </w:r>
      <w:r w:rsidR="00280D69">
        <w:rPr>
          <w:lang w:val="en-US"/>
        </w:rPr>
        <w:t>,</w:t>
      </w:r>
      <w:r w:rsidRPr="00C87A87">
        <w:rPr>
          <w:lang w:val="en-US"/>
        </w:rPr>
        <w:t xml:space="preserve"> </w:t>
      </w:r>
      <w:r w:rsidRPr="00C87A87">
        <w:rPr>
          <w:lang w:val="en-US"/>
        </w:rPr>
        <w:t xml:space="preserve">Thomas </w:t>
      </w:r>
      <w:proofErr w:type="spellStart"/>
      <w:r w:rsidRPr="00C87A87">
        <w:rPr>
          <w:lang w:val="en-US"/>
        </w:rPr>
        <w:t>Grandsaert</w:t>
      </w:r>
      <w:proofErr w:type="spellEnd"/>
      <w:r w:rsidRPr="00C87A87">
        <w:rPr>
          <w:lang w:val="en-US"/>
        </w:rPr>
        <w:t xml:space="preserve">, </w:t>
      </w:r>
      <w:r w:rsidR="00280D69" w:rsidRPr="00C87A87">
        <w:rPr>
          <w:lang w:val="en-US"/>
        </w:rPr>
        <w:t xml:space="preserve">Saeed </w:t>
      </w:r>
      <w:proofErr w:type="spellStart"/>
      <w:r w:rsidR="00280D69" w:rsidRPr="00C87A87">
        <w:rPr>
          <w:lang w:val="en-US"/>
        </w:rPr>
        <w:t>Haghtalab</w:t>
      </w:r>
      <w:proofErr w:type="spellEnd"/>
      <w:r w:rsidR="00280D69" w:rsidRPr="00C87A87">
        <w:rPr>
          <w:lang w:val="en-US"/>
        </w:rPr>
        <w:t xml:space="preserve">, </w:t>
      </w:r>
      <w:r w:rsidRPr="00C87A87">
        <w:rPr>
          <w:lang w:val="en-US"/>
        </w:rPr>
        <w:t xml:space="preserve">Johan </w:t>
      </w:r>
      <w:proofErr w:type="spellStart"/>
      <w:r w:rsidRPr="00C87A87">
        <w:rPr>
          <w:lang w:val="en-US"/>
        </w:rPr>
        <w:t>Norin</w:t>
      </w:r>
      <w:proofErr w:type="spellEnd"/>
      <w:r w:rsidRPr="00C87A87">
        <w:rPr>
          <w:lang w:val="en-US"/>
        </w:rPr>
        <w:t xml:space="preserve">, </w:t>
      </w:r>
    </w:p>
    <w:p w:rsidR="00C87A87" w:rsidRPr="00C87A87" w:rsidRDefault="00C87A87" w:rsidP="00C87A87">
      <w:pPr>
        <w:rPr>
          <w:lang w:val="en-US"/>
        </w:rPr>
      </w:pPr>
    </w:p>
    <w:p w:rsidR="00C87A87" w:rsidRPr="00C87A87" w:rsidRDefault="00C87A87" w:rsidP="00C87A87">
      <w:pPr>
        <w:pStyle w:val="NormalWeb"/>
        <w:rPr>
          <w:lang w:val="en-US"/>
        </w:rPr>
      </w:pPr>
      <w:r w:rsidRPr="00C87A87">
        <w:rPr>
          <w:lang w:val="en-US"/>
        </w:rPr>
        <w:t xml:space="preserve">Link to </w:t>
      </w:r>
      <w:proofErr w:type="spellStart"/>
      <w:r w:rsidRPr="00C87A87">
        <w:rPr>
          <w:lang w:val="en-US"/>
        </w:rPr>
        <w:t>Indico</w:t>
      </w:r>
      <w:proofErr w:type="spellEnd"/>
      <w:r w:rsidRPr="00C87A87">
        <w:rPr>
          <w:lang w:val="en-US"/>
        </w:rPr>
        <w:t xml:space="preserve"> event: </w:t>
      </w:r>
      <w:hyperlink r:id="rId5" w:history="1">
        <w:r w:rsidRPr="00C87A87">
          <w:rPr>
            <w:rStyle w:val="Hyperlink"/>
            <w:rFonts w:eastAsiaTheme="majorEastAsia"/>
            <w:lang w:val="en-US"/>
          </w:rPr>
          <w:t>https://indico.esss.lu.se/event/1165/</w:t>
        </w:r>
      </w:hyperlink>
    </w:p>
    <w:p w:rsidR="00C87A87" w:rsidRPr="00C87A87" w:rsidRDefault="00C87A87" w:rsidP="00C87A87">
      <w:pPr>
        <w:rPr>
          <w:b/>
          <w:lang w:val="en-US"/>
        </w:rPr>
      </w:pPr>
      <w:r w:rsidRPr="00C87A87">
        <w:rPr>
          <w:b/>
          <w:lang w:val="en-US"/>
        </w:rPr>
        <w:t>Summary:</w:t>
      </w:r>
    </w:p>
    <w:p w:rsidR="00C87A87" w:rsidRDefault="00C87A87" w:rsidP="00C87A87">
      <w:pPr>
        <w:rPr>
          <w:bCs/>
          <w:lang w:val="en-US"/>
        </w:rPr>
      </w:pPr>
      <w:r w:rsidRPr="00C87A87">
        <w:rPr>
          <w:bCs/>
          <w:lang w:val="en-US"/>
        </w:rPr>
        <w:t xml:space="preserve">The focus of this critical design review was the mechanical design of the two DTL Faraday cups and compatibility of the FC design with the design of the DTL </w:t>
      </w:r>
      <w:proofErr w:type="spellStart"/>
      <w:r w:rsidRPr="00C87A87">
        <w:rPr>
          <w:bCs/>
          <w:lang w:val="en-US"/>
        </w:rPr>
        <w:t>intertank</w:t>
      </w:r>
      <w:proofErr w:type="spellEnd"/>
      <w:r w:rsidRPr="00C87A87">
        <w:rPr>
          <w:bCs/>
          <w:lang w:val="en-US"/>
        </w:rPr>
        <w:t xml:space="preserve"> modules. The same FCs will also be used during the commissioning as beam stops, this aspect is also considered in the design of these components. The review also included talks on the electronics, motion control, verification and the ICS support.</w:t>
      </w:r>
      <w:r w:rsidR="00D96EA5">
        <w:rPr>
          <w:bCs/>
          <w:lang w:val="en-US"/>
        </w:rPr>
        <w:t xml:space="preserve"> </w:t>
      </w:r>
    </w:p>
    <w:p w:rsidR="00545642" w:rsidRPr="00C87A87" w:rsidRDefault="00545642" w:rsidP="00C87A87">
      <w:pPr>
        <w:rPr>
          <w:bCs/>
          <w:lang w:val="en-US"/>
        </w:rPr>
      </w:pPr>
      <w:r>
        <w:rPr>
          <w:bCs/>
          <w:lang w:val="en-US"/>
        </w:rPr>
        <w:t xml:space="preserve">The FC design is in a good state and solving the mechanical clashes and interfacing to the DTL </w:t>
      </w:r>
      <w:proofErr w:type="spellStart"/>
      <w:r>
        <w:rPr>
          <w:bCs/>
          <w:lang w:val="en-US"/>
        </w:rPr>
        <w:t>intertanks</w:t>
      </w:r>
      <w:proofErr w:type="spellEnd"/>
      <w:r>
        <w:rPr>
          <w:bCs/>
          <w:lang w:val="en-US"/>
        </w:rPr>
        <w:t xml:space="preserve"> gap size and other category one recommendations would permit the start of procurement.</w:t>
      </w:r>
    </w:p>
    <w:p w:rsidR="00C87A87" w:rsidRPr="00C87A87" w:rsidRDefault="00C87A87" w:rsidP="00C87A87">
      <w:pPr>
        <w:rPr>
          <w:lang w:val="en-US"/>
        </w:rPr>
      </w:pPr>
    </w:p>
    <w:p w:rsidR="00C87A87" w:rsidRPr="00C87A87" w:rsidRDefault="00C87A87" w:rsidP="00C87A87">
      <w:pPr>
        <w:spacing w:before="100" w:beforeAutospacing="1" w:after="100" w:afterAutospacing="1"/>
        <w:outlineLvl w:val="3"/>
        <w:rPr>
          <w:b/>
          <w:bCs/>
          <w:lang w:val="en-US"/>
        </w:rPr>
      </w:pPr>
      <w:r w:rsidRPr="00C87A87">
        <w:rPr>
          <w:b/>
          <w:bCs/>
          <w:lang w:val="en-US"/>
        </w:rPr>
        <w:t>Answers to the charge questions:</w:t>
      </w:r>
    </w:p>
    <w:p w:rsidR="00C87A87" w:rsidRPr="00C87A87" w:rsidRDefault="00C87A87" w:rsidP="00C87A87">
      <w:pPr>
        <w:spacing w:before="100" w:beforeAutospacing="1" w:after="100" w:afterAutospacing="1"/>
        <w:rPr>
          <w:lang w:val="en-US"/>
        </w:rPr>
      </w:pPr>
      <w:r w:rsidRPr="00C87A87">
        <w:rPr>
          <w:lang w:val="en-US"/>
        </w:rPr>
        <w:t>1. Does the design fulfil all requirements and respect all interfaces, and is the design sufficiently mature and level of documentation appropriate to start manufacturing/procurement?</w:t>
      </w:r>
    </w:p>
    <w:p w:rsidR="00C87A87" w:rsidRPr="00C87A87" w:rsidRDefault="00C87A87" w:rsidP="00C87A87">
      <w:pPr>
        <w:numPr>
          <w:ilvl w:val="0"/>
          <w:numId w:val="1"/>
        </w:numPr>
        <w:spacing w:before="100" w:beforeAutospacing="1" w:after="100" w:afterAutospacing="1"/>
        <w:rPr>
          <w:lang w:val="en-US"/>
        </w:rPr>
      </w:pPr>
      <w:r w:rsidRPr="00C87A87">
        <w:rPr>
          <w:lang w:val="en-US"/>
        </w:rPr>
        <w:t xml:space="preserve">Yes, </w:t>
      </w:r>
      <w:r w:rsidRPr="00C87A87">
        <w:rPr>
          <w:b/>
          <w:bCs/>
          <w:lang w:val="en-US"/>
        </w:rPr>
        <w:t>but</w:t>
      </w:r>
      <w:r w:rsidRPr="00C87A87">
        <w:rPr>
          <w:lang w:val="en-US"/>
        </w:rPr>
        <w:t xml:space="preserve"> there are clash issues to be resolved (see recommendation)</w:t>
      </w:r>
    </w:p>
    <w:p w:rsidR="00C87A87" w:rsidRPr="00C87A87" w:rsidRDefault="00C87A87" w:rsidP="00C87A87">
      <w:pPr>
        <w:spacing w:before="100" w:beforeAutospacing="1" w:after="100" w:afterAutospacing="1"/>
        <w:rPr>
          <w:lang w:val="en-US"/>
        </w:rPr>
      </w:pPr>
      <w:r w:rsidRPr="00C87A87">
        <w:rPr>
          <w:lang w:val="en-US"/>
        </w:rPr>
        <w:t>2. Is the planning appropriate and consistent with the overall ESS plans and milestones?</w:t>
      </w:r>
    </w:p>
    <w:p w:rsidR="00C87A87" w:rsidRPr="00C87A87" w:rsidRDefault="00C87A87" w:rsidP="00C87A87">
      <w:pPr>
        <w:numPr>
          <w:ilvl w:val="0"/>
          <w:numId w:val="2"/>
        </w:numPr>
        <w:spacing w:before="100" w:beforeAutospacing="1" w:after="100" w:afterAutospacing="1"/>
        <w:rPr>
          <w:lang w:val="en-US"/>
        </w:rPr>
      </w:pPr>
      <w:r w:rsidRPr="00C87A87">
        <w:rPr>
          <w:lang w:val="en-US"/>
        </w:rPr>
        <w:t>Yes, but it is tight (no float), and some studies time might need to be included in the plan</w:t>
      </w:r>
    </w:p>
    <w:p w:rsidR="00C87A87" w:rsidRPr="00C87A87" w:rsidRDefault="00C87A87" w:rsidP="00C87A87">
      <w:pPr>
        <w:spacing w:before="100" w:beforeAutospacing="1" w:after="100" w:afterAutospacing="1"/>
        <w:rPr>
          <w:lang w:val="en-US"/>
        </w:rPr>
      </w:pPr>
      <w:r w:rsidRPr="00C87A87">
        <w:rPr>
          <w:lang w:val="en-US"/>
        </w:rPr>
        <w:t>3. Is there an acquisition plan for major procurements, and is the lead time for procurements and contracts properly accounted for in the planning?</w:t>
      </w:r>
    </w:p>
    <w:p w:rsidR="00C87A87" w:rsidRPr="00C87A87" w:rsidRDefault="00C87A87" w:rsidP="00C87A87">
      <w:pPr>
        <w:numPr>
          <w:ilvl w:val="0"/>
          <w:numId w:val="3"/>
        </w:numPr>
        <w:spacing w:before="100" w:beforeAutospacing="1" w:after="100" w:afterAutospacing="1"/>
        <w:rPr>
          <w:lang w:val="en-US"/>
        </w:rPr>
      </w:pPr>
      <w:r w:rsidRPr="00C87A87">
        <w:rPr>
          <w:lang w:val="en-US"/>
        </w:rPr>
        <w:t>Yes, but see recommendation regarding splitting the procurement</w:t>
      </w:r>
    </w:p>
    <w:p w:rsidR="00C87A87" w:rsidRPr="00C87A87" w:rsidRDefault="00C87A87" w:rsidP="00C87A87">
      <w:pPr>
        <w:spacing w:before="100" w:beforeAutospacing="1" w:after="100" w:afterAutospacing="1"/>
        <w:rPr>
          <w:lang w:val="en-US"/>
        </w:rPr>
      </w:pPr>
      <w:r w:rsidRPr="00C87A87">
        <w:rPr>
          <w:lang w:val="en-US"/>
        </w:rPr>
        <w:t>4. Is the verification strategy appropriate?</w:t>
      </w:r>
    </w:p>
    <w:p w:rsidR="00C87A87" w:rsidRPr="00C87A87" w:rsidRDefault="00C87A87" w:rsidP="00C87A87">
      <w:pPr>
        <w:numPr>
          <w:ilvl w:val="0"/>
          <w:numId w:val="4"/>
        </w:numPr>
        <w:spacing w:before="100" w:beforeAutospacing="1" w:after="100" w:afterAutospacing="1"/>
        <w:rPr>
          <w:lang w:val="en-US"/>
        </w:rPr>
      </w:pPr>
      <w:r w:rsidRPr="00C87A87">
        <w:rPr>
          <w:lang w:val="en-US"/>
        </w:rPr>
        <w:t>Yes</w:t>
      </w:r>
    </w:p>
    <w:p w:rsidR="00C87A87" w:rsidRPr="00C87A87" w:rsidRDefault="00C87A87" w:rsidP="00C87A87">
      <w:pPr>
        <w:spacing w:before="100" w:beforeAutospacing="1" w:after="100" w:afterAutospacing="1"/>
        <w:rPr>
          <w:lang w:val="en-US"/>
        </w:rPr>
      </w:pPr>
      <w:r w:rsidRPr="00C87A87">
        <w:rPr>
          <w:lang w:val="en-US"/>
        </w:rPr>
        <w:t>5. Have potential safety hazards been properly identified and considered in the design choices? If required, is there a mitigation plan?</w:t>
      </w:r>
    </w:p>
    <w:p w:rsidR="00C87A87" w:rsidRPr="00C87A87" w:rsidRDefault="00C87A87" w:rsidP="00C87A87">
      <w:pPr>
        <w:numPr>
          <w:ilvl w:val="0"/>
          <w:numId w:val="5"/>
        </w:numPr>
        <w:spacing w:before="100" w:beforeAutospacing="1" w:after="100" w:afterAutospacing="1"/>
        <w:rPr>
          <w:lang w:val="en-US"/>
        </w:rPr>
      </w:pPr>
      <w:r w:rsidRPr="00C87A87">
        <w:rPr>
          <w:lang w:val="en-US"/>
        </w:rPr>
        <w:t>Yes</w:t>
      </w:r>
    </w:p>
    <w:p w:rsidR="00C87A87" w:rsidRPr="00C87A87" w:rsidRDefault="00C87A87" w:rsidP="00C87A87">
      <w:pPr>
        <w:spacing w:before="100" w:beforeAutospacing="1" w:after="100" w:afterAutospacing="1"/>
        <w:rPr>
          <w:lang w:val="en-US"/>
        </w:rPr>
      </w:pPr>
      <w:r w:rsidRPr="00C87A87">
        <w:rPr>
          <w:lang w:val="en-US"/>
        </w:rPr>
        <w:t>6. Have reliability aspects been considered in the design choices?</w:t>
      </w:r>
    </w:p>
    <w:p w:rsidR="00C87A87" w:rsidRPr="00C87A87" w:rsidRDefault="00C87A87" w:rsidP="00C87A87">
      <w:pPr>
        <w:numPr>
          <w:ilvl w:val="0"/>
          <w:numId w:val="6"/>
        </w:numPr>
        <w:spacing w:before="100" w:beforeAutospacing="1" w:after="100" w:afterAutospacing="1"/>
        <w:rPr>
          <w:lang w:val="en-US"/>
        </w:rPr>
      </w:pPr>
      <w:r w:rsidRPr="00C87A87">
        <w:rPr>
          <w:lang w:val="en-US"/>
        </w:rPr>
        <w:t>Yes, but the final design should consider them</w:t>
      </w:r>
    </w:p>
    <w:p w:rsidR="00C87A87" w:rsidRPr="00C87A87" w:rsidRDefault="00C87A87" w:rsidP="00C87A87">
      <w:pPr>
        <w:spacing w:before="100" w:beforeAutospacing="1" w:after="100" w:afterAutospacing="1"/>
        <w:rPr>
          <w:lang w:val="en-US"/>
        </w:rPr>
      </w:pPr>
      <w:r w:rsidRPr="00C87A87">
        <w:rPr>
          <w:lang w:val="en-US"/>
        </w:rPr>
        <w:t>7. Have the project risks and opportunities been properly identified and their impact considered in the design? If required, is there a mitigation plan?</w:t>
      </w:r>
    </w:p>
    <w:p w:rsidR="00C87A87" w:rsidRPr="00C87A87" w:rsidRDefault="00C87A87" w:rsidP="00C87A87">
      <w:pPr>
        <w:numPr>
          <w:ilvl w:val="0"/>
          <w:numId w:val="7"/>
        </w:numPr>
        <w:spacing w:before="100" w:beforeAutospacing="1" w:after="100" w:afterAutospacing="1"/>
        <w:rPr>
          <w:lang w:val="en-US"/>
        </w:rPr>
      </w:pPr>
      <w:r w:rsidRPr="00C87A87">
        <w:rPr>
          <w:lang w:val="en-US"/>
        </w:rPr>
        <w:t>See recommendations on schedule risk and mitigations</w:t>
      </w:r>
    </w:p>
    <w:p w:rsidR="00C87A87" w:rsidRPr="00C87A87" w:rsidRDefault="00C87A87" w:rsidP="00C87A87">
      <w:pPr>
        <w:spacing w:before="100" w:beforeAutospacing="1" w:after="100" w:afterAutospacing="1"/>
        <w:rPr>
          <w:lang w:val="en-US"/>
        </w:rPr>
      </w:pPr>
      <w:r w:rsidRPr="00C87A87">
        <w:rPr>
          <w:lang w:val="en-US"/>
        </w:rPr>
        <w:t>8. Were any other issues identified during the review? If appropriate, have issues raised in the PDR been properly addressed?</w:t>
      </w:r>
    </w:p>
    <w:p w:rsidR="00C87A87" w:rsidRPr="00C87A87" w:rsidRDefault="00C87A87" w:rsidP="00C87A87">
      <w:pPr>
        <w:numPr>
          <w:ilvl w:val="0"/>
          <w:numId w:val="8"/>
        </w:numPr>
        <w:spacing w:before="100" w:beforeAutospacing="1" w:after="100" w:afterAutospacing="1"/>
        <w:rPr>
          <w:lang w:val="en-US"/>
        </w:rPr>
      </w:pPr>
      <w:r w:rsidRPr="00C87A87">
        <w:rPr>
          <w:lang w:val="en-US"/>
        </w:rPr>
        <w:t>PDR recommendations were addressed, see additional recommendations from this review (including reinstated issues)</w:t>
      </w:r>
    </w:p>
    <w:p w:rsidR="005A5120" w:rsidRDefault="005A5120" w:rsidP="00C87A87">
      <w:pPr>
        <w:rPr>
          <w:b/>
          <w:bCs/>
          <w:lang w:val="en-US"/>
        </w:rPr>
      </w:pPr>
    </w:p>
    <w:p w:rsidR="00C87A87" w:rsidRDefault="00C87A87" w:rsidP="00C87A87">
      <w:pPr>
        <w:rPr>
          <w:b/>
          <w:bCs/>
          <w:lang w:val="en-US"/>
        </w:rPr>
      </w:pPr>
      <w:r w:rsidRPr="005A5120">
        <w:rPr>
          <w:b/>
          <w:bCs/>
          <w:lang w:val="en-US"/>
        </w:rPr>
        <w:t xml:space="preserve"> </w:t>
      </w:r>
      <w:r w:rsidRPr="005A5120">
        <w:rPr>
          <w:b/>
          <w:bCs/>
          <w:lang w:val="en-US"/>
        </w:rPr>
        <w:t>Actions (recommendations)</w:t>
      </w:r>
    </w:p>
    <w:p w:rsidR="005A5120" w:rsidRDefault="005A5120" w:rsidP="00C87A87">
      <w:pPr>
        <w:rPr>
          <w:b/>
          <w:bCs/>
          <w:lang w:val="en-US"/>
        </w:rPr>
      </w:pPr>
    </w:p>
    <w:p w:rsidR="005A5120" w:rsidRPr="005A5120" w:rsidRDefault="005A5120" w:rsidP="00C87A87">
      <w:pPr>
        <w:rPr>
          <w:lang w:val="en-US"/>
        </w:rPr>
      </w:pPr>
      <w:r>
        <w:rPr>
          <w:lang w:val="en-US"/>
        </w:rPr>
        <w:t>Based on the material provided to the CDR and the discussions during the CDR, the committee has a set of recommendations which are categorized based on their urgency.</w:t>
      </w:r>
    </w:p>
    <w:p w:rsidR="005A5120" w:rsidRPr="005A5120" w:rsidRDefault="005A5120" w:rsidP="00C87A87">
      <w:pPr>
        <w:rPr>
          <w:b/>
          <w:bCs/>
          <w:lang w:val="en-US"/>
        </w:rPr>
      </w:pPr>
    </w:p>
    <w:tbl>
      <w:tblPr>
        <w:tblStyle w:val="PlainTable1"/>
        <w:tblW w:w="0" w:type="auto"/>
        <w:tblLook w:val="04A0" w:firstRow="1" w:lastRow="0" w:firstColumn="1" w:lastColumn="0" w:noHBand="0" w:noVBand="1"/>
      </w:tblPr>
      <w:tblGrid>
        <w:gridCol w:w="7893"/>
        <w:gridCol w:w="1163"/>
      </w:tblGrid>
      <w:tr w:rsidR="00C87A87" w:rsidRPr="00C87A87" w:rsidTr="00C87A8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EAAAA" w:themeFill="background2" w:themeFillShade="BF"/>
          </w:tcPr>
          <w:p w:rsidR="00C87A87" w:rsidRPr="00C87A87" w:rsidRDefault="00C87A87">
            <w:pPr>
              <w:pStyle w:val="NormalWeb"/>
              <w:rPr>
                <w:lang w:val="en-US"/>
              </w:rPr>
            </w:pPr>
            <w:r w:rsidRPr="00C87A87">
              <w:rPr>
                <w:lang w:val="en-US"/>
              </w:rPr>
              <w:t>Action Item</w:t>
            </w:r>
          </w:p>
        </w:tc>
        <w:tc>
          <w:tcPr>
            <w:tcW w:w="0" w:type="auto"/>
            <w:shd w:val="clear" w:color="auto" w:fill="AEAAAA" w:themeFill="background2" w:themeFillShade="BF"/>
          </w:tcPr>
          <w:p w:rsidR="00C87A87" w:rsidRPr="00C87A87" w:rsidRDefault="00C87A87">
            <w:pPr>
              <w:cnfStyle w:val="100000000000" w:firstRow="1" w:lastRow="0" w:firstColumn="0" w:lastColumn="0" w:oddVBand="0" w:evenVBand="0" w:oddHBand="0" w:evenHBand="0" w:firstRowFirstColumn="0" w:firstRowLastColumn="0" w:lastRowFirstColumn="0" w:lastRowLastColumn="0"/>
              <w:rPr>
                <w:lang w:val="en-US"/>
              </w:rPr>
            </w:pPr>
            <w:r w:rsidRPr="00C87A87">
              <w:rPr>
                <w:lang w:val="en-US"/>
              </w:rPr>
              <w:t>Category</w:t>
            </w:r>
          </w:p>
        </w:tc>
      </w:tr>
      <w:tr w:rsidR="00545642" w:rsidRPr="00C87A87" w:rsidTr="00545642">
        <w:trPr>
          <w:cnfStyle w:val="000000100000" w:firstRow="0" w:lastRow="0" w:firstColumn="0" w:lastColumn="0" w:oddVBand="0" w:evenVBand="0" w:oddHBand="1" w:evenHBand="0" w:firstRowFirstColumn="0" w:firstRowLastColumn="0" w:lastRowFirstColumn="0" w:lastRowLastColumn="0"/>
          <w:trHeight w:val="2835"/>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pStyle w:val="NormalWeb"/>
              <w:rPr>
                <w:b w:val="0"/>
                <w:bCs w:val="0"/>
                <w:lang w:val="en-US"/>
              </w:rPr>
            </w:pPr>
            <w:r w:rsidRPr="00545642">
              <w:rPr>
                <w:b w:val="0"/>
                <w:bCs w:val="0"/>
                <w:lang w:val="en-US"/>
              </w:rPr>
              <w:t xml:space="preserve">To solve the </w:t>
            </w:r>
            <w:proofErr w:type="spellStart"/>
            <w:r w:rsidRPr="00545642">
              <w:rPr>
                <w:b w:val="0"/>
                <w:bCs w:val="0"/>
                <w:lang w:val="en-US"/>
              </w:rPr>
              <w:t>intertank</w:t>
            </w:r>
            <w:proofErr w:type="spellEnd"/>
            <w:r w:rsidRPr="00545642">
              <w:rPr>
                <w:b w:val="0"/>
                <w:bCs w:val="0"/>
                <w:lang w:val="en-US"/>
              </w:rPr>
              <w:t xml:space="preserve"> clashes:</w:t>
            </w:r>
          </w:p>
          <w:p w:rsidR="00545642" w:rsidRPr="00545642" w:rsidRDefault="00545642" w:rsidP="00545642">
            <w:pPr>
              <w:numPr>
                <w:ilvl w:val="0"/>
                <w:numId w:val="11"/>
              </w:numPr>
              <w:spacing w:before="100" w:beforeAutospacing="1" w:after="100" w:afterAutospacing="1"/>
              <w:rPr>
                <w:b w:val="0"/>
                <w:bCs w:val="0"/>
              </w:rPr>
            </w:pPr>
            <w:proofErr w:type="spellStart"/>
            <w:r w:rsidRPr="00545642">
              <w:rPr>
                <w:b w:val="0"/>
                <w:bCs w:val="0"/>
              </w:rPr>
              <w:t>Redesign</w:t>
            </w:r>
            <w:proofErr w:type="spellEnd"/>
            <w:r w:rsidRPr="00545642">
              <w:rPr>
                <w:b w:val="0"/>
                <w:bCs w:val="0"/>
              </w:rPr>
              <w:t xml:space="preserve"> intertanks for </w:t>
            </w:r>
            <w:proofErr w:type="spellStart"/>
            <w:r w:rsidRPr="00545642">
              <w:rPr>
                <w:b w:val="0"/>
                <w:bCs w:val="0"/>
              </w:rPr>
              <w:t>more</w:t>
            </w:r>
            <w:proofErr w:type="spellEnd"/>
            <w:r w:rsidRPr="00545642">
              <w:rPr>
                <w:b w:val="0"/>
                <w:bCs w:val="0"/>
              </w:rPr>
              <w:t xml:space="preserve"> space</w:t>
            </w:r>
          </w:p>
          <w:p w:rsidR="00545642" w:rsidRPr="00545642" w:rsidRDefault="00545642" w:rsidP="00545642">
            <w:pPr>
              <w:numPr>
                <w:ilvl w:val="1"/>
                <w:numId w:val="11"/>
              </w:numPr>
              <w:spacing w:before="100" w:beforeAutospacing="1" w:after="100" w:afterAutospacing="1"/>
              <w:rPr>
                <w:b w:val="0"/>
                <w:bCs w:val="0"/>
                <w:lang w:val="en-US"/>
              </w:rPr>
            </w:pPr>
            <w:proofErr w:type="spellStart"/>
            <w:r w:rsidRPr="00545642">
              <w:rPr>
                <w:b w:val="0"/>
                <w:bCs w:val="0"/>
                <w:lang w:val="en-US"/>
              </w:rPr>
              <w:t>Intertank</w:t>
            </w:r>
            <w:proofErr w:type="spellEnd"/>
            <w:r w:rsidRPr="00545642">
              <w:rPr>
                <w:b w:val="0"/>
                <w:bCs w:val="0"/>
                <w:lang w:val="en-US"/>
              </w:rPr>
              <w:t xml:space="preserve"> 2:  5mm (upstream, opposite of BCM)</w:t>
            </w:r>
          </w:p>
          <w:p w:rsidR="00545642" w:rsidRPr="00545642" w:rsidRDefault="00545642" w:rsidP="00545642">
            <w:pPr>
              <w:numPr>
                <w:ilvl w:val="1"/>
                <w:numId w:val="11"/>
              </w:numPr>
              <w:spacing w:before="100" w:beforeAutospacing="1" w:after="100" w:afterAutospacing="1"/>
              <w:rPr>
                <w:b w:val="0"/>
                <w:bCs w:val="0"/>
                <w:lang w:val="en-US"/>
              </w:rPr>
            </w:pPr>
            <w:proofErr w:type="spellStart"/>
            <w:r w:rsidRPr="00545642">
              <w:rPr>
                <w:b w:val="0"/>
                <w:bCs w:val="0"/>
                <w:lang w:val="en-US"/>
              </w:rPr>
              <w:t>Intertank</w:t>
            </w:r>
            <w:proofErr w:type="spellEnd"/>
            <w:r w:rsidRPr="00545642">
              <w:rPr>
                <w:b w:val="0"/>
                <w:bCs w:val="0"/>
                <w:lang w:val="en-US"/>
              </w:rPr>
              <w:t xml:space="preserve"> 4: Increase 12mm, move the flange</w:t>
            </w:r>
          </w:p>
          <w:p w:rsidR="00545642" w:rsidRPr="00545642" w:rsidRDefault="00545642" w:rsidP="00545642">
            <w:pPr>
              <w:numPr>
                <w:ilvl w:val="0"/>
                <w:numId w:val="11"/>
              </w:numPr>
              <w:spacing w:before="100" w:beforeAutospacing="1" w:after="100" w:afterAutospacing="1"/>
              <w:rPr>
                <w:b w:val="0"/>
                <w:bCs w:val="0"/>
                <w:lang w:val="en-US"/>
              </w:rPr>
            </w:pPr>
            <w:r w:rsidRPr="00545642">
              <w:rPr>
                <w:b w:val="0"/>
                <w:bCs w:val="0"/>
                <w:lang w:val="en-US"/>
              </w:rPr>
              <w:t>Redesign of the FC2 to fit in the new gap once the redesign is confirmed by INFN</w:t>
            </w:r>
          </w:p>
          <w:p w:rsidR="00545642" w:rsidRPr="00545642" w:rsidRDefault="00545642" w:rsidP="00545642">
            <w:pPr>
              <w:numPr>
                <w:ilvl w:val="0"/>
                <w:numId w:val="11"/>
              </w:numPr>
              <w:spacing w:before="100" w:beforeAutospacing="1" w:after="100" w:afterAutospacing="1"/>
              <w:rPr>
                <w:b w:val="0"/>
                <w:bCs w:val="0"/>
                <w:lang w:val="en-US"/>
              </w:rPr>
            </w:pPr>
            <w:r w:rsidRPr="00545642">
              <w:rPr>
                <w:b w:val="0"/>
                <w:bCs w:val="0"/>
                <w:lang w:val="en-US"/>
              </w:rPr>
              <w:t>Retain the design and analysis for FC4</w:t>
            </w:r>
          </w:p>
          <w:p w:rsidR="00545642" w:rsidRPr="00545642" w:rsidRDefault="00545642" w:rsidP="00545642">
            <w:pPr>
              <w:spacing w:before="100" w:beforeAutospacing="1" w:after="100" w:afterAutospacing="1"/>
              <w:ind w:left="720"/>
              <w:rPr>
                <w:b w:val="0"/>
                <w:bCs w:val="0"/>
                <w:lang w:val="en-US"/>
              </w:rPr>
            </w:pPr>
            <w:r w:rsidRPr="00545642">
              <w:rPr>
                <w:b w:val="0"/>
                <w:bCs w:val="0"/>
                <w:lang w:val="en-US"/>
              </w:rPr>
              <w:t>Consider minimizing the longitudinal offset in the redesign</w:t>
            </w:r>
          </w:p>
        </w:tc>
        <w:tc>
          <w:tcPr>
            <w:tcW w:w="0" w:type="auto"/>
            <w:vAlign w:val="center"/>
          </w:tcPr>
          <w:p w:rsidR="00545642" w:rsidRPr="00C87A87" w:rsidRDefault="00545642" w:rsidP="00545642">
            <w:pPr>
              <w:cnfStyle w:val="000000100000" w:firstRow="0" w:lastRow="0" w:firstColumn="0" w:lastColumn="0" w:oddVBand="0" w:evenVBand="0" w:oddHBand="1" w:evenHBand="0" w:firstRowFirstColumn="0" w:firstRowLastColumn="0" w:lastRowFirstColumn="0" w:lastRowLastColumn="0"/>
              <w:rPr>
                <w:lang w:val="en-US"/>
              </w:rPr>
            </w:pPr>
            <w:r>
              <w:t>1</w:t>
            </w:r>
          </w:p>
        </w:tc>
      </w:tr>
      <w:tr w:rsidR="00545642" w:rsidRPr="00C87A87" w:rsidTr="00545642">
        <w:trPr>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Confirm with Yong-Joon the impact of the radiation damage in the contact of graphite and copper</w:t>
            </w:r>
          </w:p>
        </w:tc>
        <w:tc>
          <w:tcPr>
            <w:tcW w:w="0" w:type="auto"/>
            <w:vAlign w:val="center"/>
          </w:tcPr>
          <w:p w:rsidR="00545642" w:rsidRPr="00C87A87" w:rsidRDefault="00545642" w:rsidP="00545642">
            <w:pPr>
              <w:cnfStyle w:val="000000000000" w:firstRow="0" w:lastRow="0" w:firstColumn="0" w:lastColumn="0" w:oddVBand="0" w:evenVBand="0" w:oddHBand="0" w:evenHBand="0" w:firstRowFirstColumn="0" w:firstRowLastColumn="0" w:lastRowFirstColumn="0" w:lastRowLastColumn="0"/>
              <w:rPr>
                <w:lang w:val="en-US"/>
              </w:rPr>
            </w:pPr>
            <w:r>
              <w:t>1</w:t>
            </w:r>
          </w:p>
        </w:tc>
      </w:tr>
      <w:tr w:rsidR="00545642" w:rsidRPr="00C87A87" w:rsidTr="00545642">
        <w:trPr>
          <w:cnfStyle w:val="000000100000" w:firstRow="0" w:lastRow="0" w:firstColumn="0" w:lastColumn="0" w:oddVBand="0" w:evenVBand="0" w:oddHBand="1"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The protection group should call a meeting to discuss the requirement regarding the position in case of failure (stay in place, retract...), as input to clarify how the motion blocking function is to be implemented (brake or no brake)</w:t>
            </w:r>
          </w:p>
        </w:tc>
        <w:tc>
          <w:tcPr>
            <w:tcW w:w="0" w:type="auto"/>
            <w:vAlign w:val="center"/>
          </w:tcPr>
          <w:p w:rsidR="00545642" w:rsidRPr="00C87A87" w:rsidRDefault="00545642" w:rsidP="00545642">
            <w:pPr>
              <w:cnfStyle w:val="000000100000" w:firstRow="0" w:lastRow="0" w:firstColumn="0" w:lastColumn="0" w:oddVBand="0" w:evenVBand="0" w:oddHBand="1" w:evenHBand="0" w:firstRowFirstColumn="0" w:firstRowLastColumn="0" w:lastRowFirstColumn="0" w:lastRowLastColumn="0"/>
              <w:rPr>
                <w:lang w:val="en-US"/>
              </w:rPr>
            </w:pPr>
            <w:r>
              <w:t>1</w:t>
            </w:r>
          </w:p>
        </w:tc>
      </w:tr>
      <w:tr w:rsidR="00545642" w:rsidRPr="00C87A87" w:rsidTr="00545642">
        <w:trPr>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Use of BPM-like cable (</w:t>
            </w:r>
            <w:proofErr w:type="spellStart"/>
            <w:r w:rsidRPr="00545642">
              <w:rPr>
                <w:b w:val="0"/>
                <w:bCs w:val="0"/>
                <w:lang w:val="en-US"/>
              </w:rPr>
              <w:t>heliax</w:t>
            </w:r>
            <w:proofErr w:type="spellEnd"/>
            <w:r w:rsidRPr="00545642">
              <w:rPr>
                <w:b w:val="0"/>
                <w:bCs w:val="0"/>
                <w:lang w:val="en-US"/>
              </w:rPr>
              <w:t>) instead of RG-58, or enclose the cables in a conduit</w:t>
            </w:r>
          </w:p>
        </w:tc>
        <w:tc>
          <w:tcPr>
            <w:tcW w:w="0" w:type="auto"/>
            <w:vAlign w:val="center"/>
          </w:tcPr>
          <w:p w:rsidR="00545642" w:rsidRPr="00C87A87" w:rsidRDefault="00545642" w:rsidP="00545642">
            <w:pPr>
              <w:cnfStyle w:val="000000000000" w:firstRow="0" w:lastRow="0" w:firstColumn="0" w:lastColumn="0" w:oddVBand="0" w:evenVBand="0" w:oddHBand="0" w:evenHBand="0" w:firstRowFirstColumn="0" w:firstRowLastColumn="0" w:lastRowFirstColumn="0" w:lastRowLastColumn="0"/>
              <w:rPr>
                <w:lang w:val="en-US"/>
              </w:rPr>
            </w:pPr>
            <w:r>
              <w:t>1</w:t>
            </w:r>
          </w:p>
        </w:tc>
      </w:tr>
      <w:tr w:rsidR="00545642" w:rsidRPr="00C87A87" w:rsidTr="00545642">
        <w:trPr>
          <w:cnfStyle w:val="000000100000" w:firstRow="0" w:lastRow="0" w:firstColumn="0" w:lastColumn="0" w:oddVBand="0" w:evenVBand="0" w:oddHBand="1"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Fast track the design and procurement of the FC2 to meet the commissioning schedule, even if it delays delivery of FC4</w:t>
            </w:r>
          </w:p>
        </w:tc>
        <w:tc>
          <w:tcPr>
            <w:tcW w:w="0" w:type="auto"/>
            <w:vAlign w:val="center"/>
          </w:tcPr>
          <w:p w:rsidR="00545642" w:rsidRPr="00C87A87" w:rsidRDefault="00545642" w:rsidP="00545642">
            <w:pPr>
              <w:cnfStyle w:val="000000100000" w:firstRow="0" w:lastRow="0" w:firstColumn="0" w:lastColumn="0" w:oddVBand="0" w:evenVBand="0" w:oddHBand="1" w:evenHBand="0" w:firstRowFirstColumn="0" w:firstRowLastColumn="0" w:lastRowFirstColumn="0" w:lastRowLastColumn="0"/>
              <w:rPr>
                <w:lang w:val="en-US"/>
              </w:rPr>
            </w:pPr>
            <w:r>
              <w:t>1</w:t>
            </w:r>
          </w:p>
        </w:tc>
      </w:tr>
      <w:tr w:rsidR="00545642" w:rsidRPr="00C87A87" w:rsidTr="00545642">
        <w:trPr>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 xml:space="preserve">Lock FC in place for the </w:t>
            </w:r>
            <w:r w:rsidR="00280D69">
              <w:rPr>
                <w:b w:val="0"/>
                <w:bCs w:val="0"/>
                <w:lang w:val="en-US"/>
              </w:rPr>
              <w:t>normal conducting</w:t>
            </w:r>
            <w:r w:rsidRPr="00545642">
              <w:rPr>
                <w:b w:val="0"/>
                <w:bCs w:val="0"/>
                <w:lang w:val="en-US"/>
              </w:rPr>
              <w:t xml:space="preserve"> </w:t>
            </w:r>
            <w:proofErr w:type="spellStart"/>
            <w:r w:rsidRPr="00545642">
              <w:rPr>
                <w:b w:val="0"/>
                <w:bCs w:val="0"/>
                <w:lang w:val="en-US"/>
              </w:rPr>
              <w:t>linac</w:t>
            </w:r>
            <w:proofErr w:type="spellEnd"/>
            <w:r w:rsidRPr="00545642">
              <w:rPr>
                <w:b w:val="0"/>
                <w:bCs w:val="0"/>
                <w:lang w:val="en-US"/>
              </w:rPr>
              <w:t xml:space="preserve"> commissioning period in a safety credited way</w:t>
            </w:r>
          </w:p>
        </w:tc>
        <w:tc>
          <w:tcPr>
            <w:tcW w:w="0" w:type="auto"/>
            <w:vAlign w:val="center"/>
          </w:tcPr>
          <w:p w:rsidR="00545642" w:rsidRPr="00C87A87" w:rsidRDefault="00545642" w:rsidP="00545642">
            <w:pPr>
              <w:cnfStyle w:val="000000000000" w:firstRow="0" w:lastRow="0" w:firstColumn="0" w:lastColumn="0" w:oddVBand="0" w:evenVBand="0" w:oddHBand="0" w:evenHBand="0" w:firstRowFirstColumn="0" w:firstRowLastColumn="0" w:lastRowFirstColumn="0" w:lastRowLastColumn="0"/>
              <w:rPr>
                <w:lang w:val="en-US"/>
              </w:rPr>
            </w:pPr>
            <w:r>
              <w:t>2</w:t>
            </w:r>
          </w:p>
        </w:tc>
      </w:tr>
      <w:tr w:rsidR="00545642" w:rsidRPr="00C87A87" w:rsidTr="00545642">
        <w:trPr>
          <w:cnfStyle w:val="000000100000" w:firstRow="0" w:lastRow="0" w:firstColumn="0" w:lastColumn="0" w:oddVBand="0" w:evenVBand="0" w:oddHBand="1"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 xml:space="preserve">ICS to implement data on demand before the commissioning of the </w:t>
            </w:r>
            <w:r w:rsidR="00280D69">
              <w:rPr>
                <w:b w:val="0"/>
                <w:bCs w:val="0"/>
                <w:lang w:val="en-US"/>
              </w:rPr>
              <w:t>normal conducting</w:t>
            </w:r>
            <w:r w:rsidR="00280D69" w:rsidRPr="00545642">
              <w:rPr>
                <w:b w:val="0"/>
                <w:bCs w:val="0"/>
                <w:lang w:val="en-US"/>
              </w:rPr>
              <w:t xml:space="preserve"> </w:t>
            </w:r>
            <w:proofErr w:type="spellStart"/>
            <w:r w:rsidRPr="00545642">
              <w:rPr>
                <w:b w:val="0"/>
                <w:bCs w:val="0"/>
                <w:lang w:val="en-US"/>
              </w:rPr>
              <w:t>linac</w:t>
            </w:r>
            <w:proofErr w:type="spellEnd"/>
            <w:r w:rsidRPr="00545642">
              <w:rPr>
                <w:b w:val="0"/>
                <w:bCs w:val="0"/>
                <w:lang w:val="en-US"/>
              </w:rPr>
              <w:t xml:space="preserve"> (after the release of version 2.0)</w:t>
            </w:r>
          </w:p>
        </w:tc>
        <w:tc>
          <w:tcPr>
            <w:tcW w:w="0" w:type="auto"/>
            <w:vAlign w:val="center"/>
          </w:tcPr>
          <w:p w:rsidR="00545642" w:rsidRPr="00C87A87" w:rsidRDefault="00545642" w:rsidP="00545642">
            <w:pPr>
              <w:cnfStyle w:val="000000100000" w:firstRow="0" w:lastRow="0" w:firstColumn="0" w:lastColumn="0" w:oddVBand="0" w:evenVBand="0" w:oddHBand="1" w:evenHBand="0" w:firstRowFirstColumn="0" w:firstRowLastColumn="0" w:lastRowFirstColumn="0" w:lastRowLastColumn="0"/>
              <w:rPr>
                <w:lang w:val="en-US"/>
              </w:rPr>
            </w:pPr>
            <w:r>
              <w:t>2</w:t>
            </w:r>
          </w:p>
        </w:tc>
      </w:tr>
      <w:tr w:rsidR="00545642" w:rsidRPr="00C87A87" w:rsidTr="00545642">
        <w:trPr>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Advertise the fact that this is not designed to be a safety credited device</w:t>
            </w:r>
          </w:p>
        </w:tc>
        <w:tc>
          <w:tcPr>
            <w:tcW w:w="0" w:type="auto"/>
            <w:vAlign w:val="center"/>
          </w:tcPr>
          <w:p w:rsidR="00545642" w:rsidRPr="00C87A87" w:rsidRDefault="00545642" w:rsidP="00545642">
            <w:pPr>
              <w:cnfStyle w:val="000000000000" w:firstRow="0" w:lastRow="0" w:firstColumn="0" w:lastColumn="0" w:oddVBand="0" w:evenVBand="0" w:oddHBand="0" w:evenHBand="0" w:firstRowFirstColumn="0" w:firstRowLastColumn="0" w:lastRowFirstColumn="0" w:lastRowLastColumn="0"/>
              <w:rPr>
                <w:lang w:val="en-US"/>
              </w:rPr>
            </w:pPr>
            <w:r>
              <w:t>3</w:t>
            </w:r>
          </w:p>
        </w:tc>
      </w:tr>
      <w:tr w:rsidR="00545642" w:rsidRPr="00C87A87" w:rsidTr="00545642">
        <w:trPr>
          <w:cnfStyle w:val="000000100000" w:firstRow="0" w:lastRow="0" w:firstColumn="0" w:lastColumn="0" w:oddVBand="0" w:evenVBand="0" w:oddHBand="1"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Look into the activation of the steel shielding and FC with regards to the hands-on maintenance, make sure the data is available</w:t>
            </w:r>
          </w:p>
        </w:tc>
        <w:tc>
          <w:tcPr>
            <w:tcW w:w="0" w:type="auto"/>
            <w:vAlign w:val="center"/>
          </w:tcPr>
          <w:p w:rsidR="00545642" w:rsidRPr="00C87A87" w:rsidRDefault="00545642" w:rsidP="00545642">
            <w:pPr>
              <w:cnfStyle w:val="000000100000" w:firstRow="0" w:lastRow="0" w:firstColumn="0" w:lastColumn="0" w:oddVBand="0" w:evenVBand="0" w:oddHBand="1" w:evenHBand="0" w:firstRowFirstColumn="0" w:firstRowLastColumn="0" w:lastRowFirstColumn="0" w:lastRowLastColumn="0"/>
              <w:rPr>
                <w:lang w:val="en-US"/>
              </w:rPr>
            </w:pPr>
            <w:r>
              <w:t>3</w:t>
            </w:r>
          </w:p>
        </w:tc>
      </w:tr>
      <w:tr w:rsidR="00545642" w:rsidRPr="00C87A87" w:rsidTr="00545642">
        <w:trPr>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545642" w:rsidRPr="00545642" w:rsidRDefault="00545642" w:rsidP="00545642">
            <w:pPr>
              <w:rPr>
                <w:b w:val="0"/>
                <w:bCs w:val="0"/>
                <w:lang w:val="en-US"/>
              </w:rPr>
            </w:pPr>
            <w:r w:rsidRPr="00545642">
              <w:rPr>
                <w:b w:val="0"/>
                <w:bCs w:val="0"/>
                <w:lang w:val="en-US"/>
              </w:rPr>
              <w:t>Document the operating envelope for the FCs (length, emittance, pulse current...)</w:t>
            </w:r>
          </w:p>
        </w:tc>
        <w:tc>
          <w:tcPr>
            <w:tcW w:w="0" w:type="auto"/>
            <w:vAlign w:val="center"/>
          </w:tcPr>
          <w:p w:rsidR="00545642" w:rsidRPr="00C87A87" w:rsidRDefault="00545642" w:rsidP="00545642">
            <w:pPr>
              <w:cnfStyle w:val="000000000000" w:firstRow="0" w:lastRow="0" w:firstColumn="0" w:lastColumn="0" w:oddVBand="0" w:evenVBand="0" w:oddHBand="0" w:evenHBand="0" w:firstRowFirstColumn="0" w:firstRowLastColumn="0" w:lastRowFirstColumn="0" w:lastRowLastColumn="0"/>
              <w:rPr>
                <w:lang w:val="en-US"/>
              </w:rPr>
            </w:pPr>
            <w:r>
              <w:t>3</w:t>
            </w:r>
          </w:p>
        </w:tc>
      </w:tr>
      <w:tr w:rsidR="007B3469" w:rsidRPr="00C87A87" w:rsidTr="00545642">
        <w:trPr>
          <w:cnfStyle w:val="000000100000" w:firstRow="0" w:lastRow="0" w:firstColumn="0" w:lastColumn="0" w:oddVBand="0" w:evenVBand="0" w:oddHBand="1"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0" w:type="auto"/>
            <w:vAlign w:val="center"/>
          </w:tcPr>
          <w:p w:rsidR="007B3469" w:rsidRPr="007B3469" w:rsidRDefault="007B3469" w:rsidP="007B3469">
            <w:pPr>
              <w:rPr>
                <w:b w:val="0"/>
                <w:bCs w:val="0"/>
                <w:lang w:val="en-US"/>
              </w:rPr>
            </w:pPr>
            <w:r>
              <w:rPr>
                <w:b w:val="0"/>
                <w:bCs w:val="0"/>
                <w:lang w:val="en-US"/>
              </w:rPr>
              <w:t>P</w:t>
            </w:r>
            <w:r w:rsidRPr="007B3469">
              <w:rPr>
                <w:b w:val="0"/>
                <w:bCs w:val="0"/>
                <w:lang w:val="en-US"/>
              </w:rPr>
              <w:t xml:space="preserve">erform the detailed design for the integration of the Faraday Cup in the shielding for the commissioning of the </w:t>
            </w:r>
            <w:r>
              <w:rPr>
                <w:b w:val="0"/>
                <w:bCs w:val="0"/>
                <w:lang w:val="en-US"/>
              </w:rPr>
              <w:t>normal conducting</w:t>
            </w:r>
            <w:r w:rsidRPr="007B3469">
              <w:rPr>
                <w:b w:val="0"/>
                <w:bCs w:val="0"/>
                <w:lang w:val="en-US"/>
              </w:rPr>
              <w:t xml:space="preserve"> </w:t>
            </w:r>
            <w:proofErr w:type="spellStart"/>
            <w:r w:rsidRPr="007B3469">
              <w:rPr>
                <w:b w:val="0"/>
                <w:bCs w:val="0"/>
                <w:lang w:val="en-US"/>
              </w:rPr>
              <w:t>linac</w:t>
            </w:r>
            <w:proofErr w:type="spellEnd"/>
            <w:r w:rsidRPr="007B3469">
              <w:rPr>
                <w:b w:val="0"/>
                <w:bCs w:val="0"/>
                <w:lang w:val="en-US"/>
              </w:rPr>
              <w:t xml:space="preserve"> (see ESS-0136227) and verify that the final design is consistent with the shielding requirements.</w:t>
            </w:r>
          </w:p>
          <w:p w:rsidR="007B3469" w:rsidRPr="00545642" w:rsidRDefault="007B3469" w:rsidP="00545642">
            <w:pPr>
              <w:rPr>
                <w:b w:val="0"/>
                <w:bCs w:val="0"/>
                <w:lang w:val="en-US"/>
              </w:rPr>
            </w:pPr>
          </w:p>
        </w:tc>
        <w:tc>
          <w:tcPr>
            <w:tcW w:w="0" w:type="auto"/>
            <w:vAlign w:val="center"/>
          </w:tcPr>
          <w:p w:rsidR="007B3469" w:rsidRPr="007B3469" w:rsidRDefault="007B3469" w:rsidP="00545642">
            <w:pPr>
              <w:cnfStyle w:val="000000100000" w:firstRow="0" w:lastRow="0" w:firstColumn="0" w:lastColumn="0" w:oddVBand="0" w:evenVBand="0" w:oddHBand="1" w:evenHBand="0" w:firstRowFirstColumn="0" w:firstRowLastColumn="0" w:lastRowFirstColumn="0" w:lastRowLastColumn="0"/>
              <w:rPr>
                <w:lang w:val="en-US"/>
              </w:rPr>
            </w:pPr>
            <w:r>
              <w:rPr>
                <w:lang w:val="en-US"/>
              </w:rPr>
              <w:t>3</w:t>
            </w:r>
          </w:p>
        </w:tc>
      </w:tr>
    </w:tbl>
    <w:p w:rsidR="00C87A87" w:rsidRPr="00C87A87" w:rsidRDefault="00C87A87" w:rsidP="00C87A87">
      <w:pPr>
        <w:pStyle w:val="NormalWeb"/>
        <w:spacing w:before="0" w:beforeAutospacing="0" w:after="0" w:afterAutospacing="0" w:line="276" w:lineRule="auto"/>
        <w:rPr>
          <w:lang w:val="en-US"/>
        </w:rPr>
      </w:pPr>
      <w:r w:rsidRPr="00C87A87">
        <w:rPr>
          <w:lang w:val="en-US"/>
        </w:rPr>
        <w:t>*Category definitions:</w:t>
      </w:r>
    </w:p>
    <w:p w:rsidR="00C87A87" w:rsidRPr="00C87A87" w:rsidRDefault="00C87A87" w:rsidP="00C87A87">
      <w:pPr>
        <w:numPr>
          <w:ilvl w:val="0"/>
          <w:numId w:val="10"/>
        </w:numPr>
        <w:spacing w:after="100" w:afterAutospacing="1" w:line="276" w:lineRule="auto"/>
        <w:ind w:left="714" w:hanging="357"/>
        <w:rPr>
          <w:lang w:val="en-US"/>
        </w:rPr>
      </w:pPr>
      <w:r w:rsidRPr="00C87A87">
        <w:rPr>
          <w:lang w:val="en-US"/>
        </w:rPr>
        <w:t>Must be addressed before CDR is considered closed and production starts</w:t>
      </w:r>
    </w:p>
    <w:p w:rsidR="00C87A87" w:rsidRPr="00C87A87" w:rsidRDefault="00C87A87" w:rsidP="00C87A87">
      <w:pPr>
        <w:numPr>
          <w:ilvl w:val="0"/>
          <w:numId w:val="10"/>
        </w:numPr>
        <w:spacing w:before="100" w:beforeAutospacing="1" w:after="100" w:afterAutospacing="1" w:line="276" w:lineRule="auto"/>
        <w:rPr>
          <w:lang w:val="en-US"/>
        </w:rPr>
      </w:pPr>
      <w:r w:rsidRPr="00C87A87">
        <w:rPr>
          <w:lang w:val="en-US"/>
        </w:rPr>
        <w:t>Must be addressed prior to the TRR</w:t>
      </w:r>
    </w:p>
    <w:p w:rsidR="00C87A87" w:rsidRPr="00C87A87" w:rsidRDefault="00C87A87" w:rsidP="00C87A87">
      <w:pPr>
        <w:numPr>
          <w:ilvl w:val="0"/>
          <w:numId w:val="10"/>
        </w:numPr>
        <w:spacing w:before="100" w:beforeAutospacing="1" w:after="100" w:afterAutospacing="1" w:line="276" w:lineRule="auto"/>
        <w:rPr>
          <w:lang w:val="en-US"/>
        </w:rPr>
      </w:pPr>
      <w:r w:rsidRPr="00C87A87">
        <w:rPr>
          <w:lang w:val="en-US"/>
        </w:rPr>
        <w:t>Must be addressed at some time during the project</w:t>
      </w:r>
    </w:p>
    <w:p w:rsidR="00C87A87" w:rsidRPr="00C87A87" w:rsidRDefault="00C87A87" w:rsidP="00C87A87">
      <w:pPr>
        <w:rPr>
          <w:rStyle w:val="BookTitle"/>
          <w:b w:val="0"/>
          <w:bCs w:val="0"/>
          <w:i w:val="0"/>
          <w:iCs w:val="0"/>
          <w:lang w:val="en-US"/>
        </w:rPr>
      </w:pPr>
    </w:p>
    <w:sectPr w:rsidR="00C87A87" w:rsidRPr="00C87A87" w:rsidSect="00B831B9">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820E0"/>
    <w:multiLevelType w:val="multilevel"/>
    <w:tmpl w:val="E64ED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384DF7"/>
    <w:multiLevelType w:val="multilevel"/>
    <w:tmpl w:val="80141D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CA4394"/>
    <w:multiLevelType w:val="multilevel"/>
    <w:tmpl w:val="9F368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326E1A"/>
    <w:multiLevelType w:val="multilevel"/>
    <w:tmpl w:val="45C03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3F1CDD"/>
    <w:multiLevelType w:val="multilevel"/>
    <w:tmpl w:val="0EDEC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1C37E8"/>
    <w:multiLevelType w:val="multilevel"/>
    <w:tmpl w:val="0F024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A33700A"/>
    <w:multiLevelType w:val="multilevel"/>
    <w:tmpl w:val="0BA05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3874A49"/>
    <w:multiLevelType w:val="multilevel"/>
    <w:tmpl w:val="2EAE4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4262696"/>
    <w:multiLevelType w:val="multilevel"/>
    <w:tmpl w:val="26C4AB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5957E3A"/>
    <w:multiLevelType w:val="multilevel"/>
    <w:tmpl w:val="A4E20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E4671A8"/>
    <w:multiLevelType w:val="multilevel"/>
    <w:tmpl w:val="24E6EE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0"/>
  </w:num>
  <w:num w:numId="4">
    <w:abstractNumId w:val="4"/>
  </w:num>
  <w:num w:numId="5">
    <w:abstractNumId w:val="9"/>
  </w:num>
  <w:num w:numId="6">
    <w:abstractNumId w:val="2"/>
  </w:num>
  <w:num w:numId="7">
    <w:abstractNumId w:val="7"/>
  </w:num>
  <w:num w:numId="8">
    <w:abstractNumId w:val="3"/>
  </w:num>
  <w:num w:numId="9">
    <w:abstractNumId w:val="10"/>
  </w:num>
  <w:num w:numId="10">
    <w:abstractNumId w:val="8"/>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A87"/>
    <w:rsid w:val="00280D69"/>
    <w:rsid w:val="00545642"/>
    <w:rsid w:val="005A5120"/>
    <w:rsid w:val="007B3469"/>
    <w:rsid w:val="00B831B9"/>
    <w:rsid w:val="00C212FD"/>
    <w:rsid w:val="00C87A87"/>
    <w:rsid w:val="00D96EA5"/>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decimalSymbol w:val="."/>
  <w:listSeparator w:val=","/>
  <w14:docId w14:val="558848F2"/>
  <w15:chartTrackingRefBased/>
  <w15:docId w15:val="{2A926C0B-A86E-7A43-BDE0-2501ED07BC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7A87"/>
    <w:rPr>
      <w:rFonts w:ascii="Times New Roman" w:eastAsia="Times New Roman" w:hAnsi="Times New Roman" w:cs="Times New Roman"/>
    </w:rPr>
  </w:style>
  <w:style w:type="paragraph" w:styleId="Heading2">
    <w:name w:val="heading 2"/>
    <w:basedOn w:val="Normal"/>
    <w:next w:val="Normal"/>
    <w:link w:val="Heading2Char"/>
    <w:uiPriority w:val="9"/>
    <w:unhideWhenUsed/>
    <w:qFormat/>
    <w:rsid w:val="00C87A8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qFormat/>
    <w:rsid w:val="00C87A87"/>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87A8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A87"/>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C87A87"/>
    <w:rPr>
      <w:rFonts w:asciiTheme="majorHAnsi" w:eastAsiaTheme="majorEastAsia" w:hAnsiTheme="majorHAnsi" w:cstheme="majorBidi"/>
      <w:color w:val="2F5496" w:themeColor="accent1" w:themeShade="BF"/>
      <w:sz w:val="26"/>
      <w:szCs w:val="26"/>
    </w:rPr>
  </w:style>
  <w:style w:type="character" w:styleId="Strong">
    <w:name w:val="Strong"/>
    <w:basedOn w:val="DefaultParagraphFont"/>
    <w:uiPriority w:val="22"/>
    <w:qFormat/>
    <w:rsid w:val="00C87A87"/>
    <w:rPr>
      <w:b/>
      <w:bCs/>
    </w:rPr>
  </w:style>
  <w:style w:type="character" w:styleId="BookTitle">
    <w:name w:val="Book Title"/>
    <w:basedOn w:val="DefaultParagraphFont"/>
    <w:uiPriority w:val="33"/>
    <w:qFormat/>
    <w:rsid w:val="00C87A87"/>
    <w:rPr>
      <w:b/>
      <w:bCs/>
      <w:i/>
      <w:iCs/>
      <w:spacing w:val="5"/>
    </w:rPr>
  </w:style>
  <w:style w:type="paragraph" w:styleId="NormalWeb">
    <w:name w:val="Normal (Web)"/>
    <w:basedOn w:val="Normal"/>
    <w:uiPriority w:val="99"/>
    <w:semiHidden/>
    <w:unhideWhenUsed/>
    <w:rsid w:val="00C87A87"/>
    <w:pPr>
      <w:spacing w:before="100" w:beforeAutospacing="1" w:after="100" w:afterAutospacing="1"/>
    </w:pPr>
  </w:style>
  <w:style w:type="character" w:styleId="Hyperlink">
    <w:name w:val="Hyperlink"/>
    <w:basedOn w:val="DefaultParagraphFont"/>
    <w:uiPriority w:val="99"/>
    <w:semiHidden/>
    <w:unhideWhenUsed/>
    <w:rsid w:val="00C87A87"/>
    <w:rPr>
      <w:color w:val="0000FF"/>
      <w:u w:val="single"/>
    </w:rPr>
  </w:style>
  <w:style w:type="character" w:customStyle="1" w:styleId="Heading4Char">
    <w:name w:val="Heading 4 Char"/>
    <w:basedOn w:val="DefaultParagraphFont"/>
    <w:link w:val="Heading4"/>
    <w:uiPriority w:val="9"/>
    <w:rsid w:val="00C87A87"/>
    <w:rPr>
      <w:rFonts w:ascii="Times New Roman" w:eastAsia="Times New Roman" w:hAnsi="Times New Roman" w:cs="Times New Roman"/>
      <w:b/>
      <w:bCs/>
    </w:rPr>
  </w:style>
  <w:style w:type="table" w:styleId="TableGridLight">
    <w:name w:val="Grid Table Light"/>
    <w:basedOn w:val="TableNormal"/>
    <w:uiPriority w:val="40"/>
    <w:rsid w:val="00C87A8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C87A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4466980">
      <w:bodyDiv w:val="1"/>
      <w:marLeft w:val="0"/>
      <w:marRight w:val="0"/>
      <w:marTop w:val="0"/>
      <w:marBottom w:val="0"/>
      <w:divBdr>
        <w:top w:val="none" w:sz="0" w:space="0" w:color="auto"/>
        <w:left w:val="none" w:sz="0" w:space="0" w:color="auto"/>
        <w:bottom w:val="none" w:sz="0" w:space="0" w:color="auto"/>
        <w:right w:val="none" w:sz="0" w:space="0" w:color="auto"/>
      </w:divBdr>
    </w:div>
    <w:div w:id="456073558">
      <w:bodyDiv w:val="1"/>
      <w:marLeft w:val="0"/>
      <w:marRight w:val="0"/>
      <w:marTop w:val="0"/>
      <w:marBottom w:val="0"/>
      <w:divBdr>
        <w:top w:val="none" w:sz="0" w:space="0" w:color="auto"/>
        <w:left w:val="none" w:sz="0" w:space="0" w:color="auto"/>
        <w:bottom w:val="none" w:sz="0" w:space="0" w:color="auto"/>
        <w:right w:val="none" w:sz="0" w:space="0" w:color="auto"/>
      </w:divBdr>
      <w:divsChild>
        <w:div w:id="1455755291">
          <w:marLeft w:val="0"/>
          <w:marRight w:val="0"/>
          <w:marTop w:val="0"/>
          <w:marBottom w:val="0"/>
          <w:divBdr>
            <w:top w:val="none" w:sz="0" w:space="0" w:color="auto"/>
            <w:left w:val="none" w:sz="0" w:space="0" w:color="auto"/>
            <w:bottom w:val="none" w:sz="0" w:space="0" w:color="auto"/>
            <w:right w:val="none" w:sz="0" w:space="0" w:color="auto"/>
          </w:divBdr>
        </w:div>
      </w:divsChild>
    </w:div>
    <w:div w:id="803425888">
      <w:bodyDiv w:val="1"/>
      <w:marLeft w:val="0"/>
      <w:marRight w:val="0"/>
      <w:marTop w:val="0"/>
      <w:marBottom w:val="0"/>
      <w:divBdr>
        <w:top w:val="none" w:sz="0" w:space="0" w:color="auto"/>
        <w:left w:val="none" w:sz="0" w:space="0" w:color="auto"/>
        <w:bottom w:val="none" w:sz="0" w:space="0" w:color="auto"/>
        <w:right w:val="none" w:sz="0" w:space="0" w:color="auto"/>
      </w:divBdr>
    </w:div>
    <w:div w:id="987368779">
      <w:bodyDiv w:val="1"/>
      <w:marLeft w:val="0"/>
      <w:marRight w:val="0"/>
      <w:marTop w:val="0"/>
      <w:marBottom w:val="0"/>
      <w:divBdr>
        <w:top w:val="none" w:sz="0" w:space="0" w:color="auto"/>
        <w:left w:val="none" w:sz="0" w:space="0" w:color="auto"/>
        <w:bottom w:val="none" w:sz="0" w:space="0" w:color="auto"/>
        <w:right w:val="none" w:sz="0" w:space="0" w:color="auto"/>
      </w:divBdr>
    </w:div>
    <w:div w:id="1207568792">
      <w:bodyDiv w:val="1"/>
      <w:marLeft w:val="0"/>
      <w:marRight w:val="0"/>
      <w:marTop w:val="0"/>
      <w:marBottom w:val="0"/>
      <w:divBdr>
        <w:top w:val="none" w:sz="0" w:space="0" w:color="auto"/>
        <w:left w:val="none" w:sz="0" w:space="0" w:color="auto"/>
        <w:bottom w:val="none" w:sz="0" w:space="0" w:color="auto"/>
        <w:right w:val="none" w:sz="0" w:space="0" w:color="auto"/>
      </w:divBdr>
    </w:div>
    <w:div w:id="1249924755">
      <w:bodyDiv w:val="1"/>
      <w:marLeft w:val="0"/>
      <w:marRight w:val="0"/>
      <w:marTop w:val="0"/>
      <w:marBottom w:val="0"/>
      <w:divBdr>
        <w:top w:val="none" w:sz="0" w:space="0" w:color="auto"/>
        <w:left w:val="none" w:sz="0" w:space="0" w:color="auto"/>
        <w:bottom w:val="none" w:sz="0" w:space="0" w:color="auto"/>
        <w:right w:val="none" w:sz="0" w:space="0" w:color="auto"/>
      </w:divBdr>
    </w:div>
    <w:div w:id="1298292851">
      <w:bodyDiv w:val="1"/>
      <w:marLeft w:val="0"/>
      <w:marRight w:val="0"/>
      <w:marTop w:val="0"/>
      <w:marBottom w:val="0"/>
      <w:divBdr>
        <w:top w:val="none" w:sz="0" w:space="0" w:color="auto"/>
        <w:left w:val="none" w:sz="0" w:space="0" w:color="auto"/>
        <w:bottom w:val="none" w:sz="0" w:space="0" w:color="auto"/>
        <w:right w:val="none" w:sz="0" w:space="0" w:color="auto"/>
      </w:divBdr>
    </w:div>
    <w:div w:id="1953172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ndico.esss.lu.se/event/1165/"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Pages>
  <Words>672</Words>
  <Characters>3832</Characters>
  <Application>Microsoft Office Word</Application>
  <DocSecurity>0</DocSecurity>
  <Lines>31</Lines>
  <Paragraphs>8</Paragraphs>
  <ScaleCrop>false</ScaleCrop>
  <Company/>
  <LinksUpToDate>false</LinksUpToDate>
  <CharactersWithSpaces>4496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Mamad Eshraqi</dc:creator>
  <cp:keywords/>
  <dc:description/>
  <cp:lastModifiedBy>Mamad Eshraqi</cp:lastModifiedBy>
  <cp:revision>6</cp:revision>
  <dcterms:created xsi:type="dcterms:W3CDTF">2018-12-17T08:59:00Z</dcterms:created>
  <dcterms:modified xsi:type="dcterms:W3CDTF">2018-12-19T08:45:00Z</dcterms:modified>
</cp:coreProperties>
</file>