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04A9" w14:textId="77777777" w:rsidR="00F12CB4" w:rsidRPr="005457E2" w:rsidRDefault="00F12CB4" w:rsidP="005457E2"/>
    <w:tbl>
      <w:tblPr>
        <w:tblStyle w:val="TableGrid"/>
        <w:tblW w:w="0" w:type="auto"/>
        <w:jc w:val="center"/>
        <w:tblLook w:val="04A0" w:firstRow="1" w:lastRow="0" w:firstColumn="1" w:lastColumn="0" w:noHBand="0" w:noVBand="1"/>
      </w:tblPr>
      <w:tblGrid>
        <w:gridCol w:w="8982"/>
      </w:tblGrid>
      <w:tr w:rsidR="00CC775B" w:rsidRPr="00B414C7" w14:paraId="6CB62738" w14:textId="77777777" w:rsidTr="006272CA">
        <w:trPr>
          <w:jc w:val="center"/>
        </w:trPr>
        <w:tc>
          <w:tcPr>
            <w:tcW w:w="8982" w:type="dxa"/>
            <w:tcBorders>
              <w:top w:val="nil"/>
              <w:left w:val="nil"/>
              <w:bottom w:val="thickThinSmallGap" w:sz="24" w:space="0" w:color="auto"/>
              <w:right w:val="nil"/>
            </w:tcBorders>
          </w:tcPr>
          <w:p w14:paraId="2314B6D1" w14:textId="77777777" w:rsidR="00CC775B" w:rsidRPr="00B414C7" w:rsidRDefault="00CC775B" w:rsidP="008E155D"/>
        </w:tc>
      </w:tr>
      <w:tr w:rsidR="00CC775B" w:rsidRPr="008A3FA3" w14:paraId="0DD97C3F" w14:textId="77777777" w:rsidTr="006272CA">
        <w:trPr>
          <w:jc w:val="center"/>
        </w:trPr>
        <w:tc>
          <w:tcPr>
            <w:tcW w:w="8982" w:type="dxa"/>
            <w:tcBorders>
              <w:top w:val="thickThinSmallGap" w:sz="24" w:space="0" w:color="auto"/>
              <w:left w:val="nil"/>
              <w:bottom w:val="thickThinSmallGap" w:sz="24" w:space="0" w:color="auto"/>
              <w:right w:val="nil"/>
            </w:tcBorders>
          </w:tcPr>
          <w:p w14:paraId="230B917F" w14:textId="77777777" w:rsidR="00CC775B" w:rsidRPr="008A3FA3" w:rsidRDefault="00000000" w:rsidP="008A3FA3">
            <w:pPr>
              <w:pStyle w:val="Documenttitle"/>
            </w:pPr>
            <w:fldSimple w:instr=" DOCPROPERTY &quot;MXTitle&quot;  \* MERGEFORMAT ">
              <w:r w:rsidR="009379ED">
                <w:t>VESPA rescoping options</w:t>
              </w:r>
            </w:fldSimple>
          </w:p>
        </w:tc>
      </w:tr>
      <w:tr w:rsidR="00CC775B" w:rsidRPr="00B414C7" w14:paraId="31F6F880" w14:textId="77777777" w:rsidTr="006272CA">
        <w:trPr>
          <w:jc w:val="center"/>
        </w:trPr>
        <w:tc>
          <w:tcPr>
            <w:tcW w:w="8982" w:type="dxa"/>
            <w:tcBorders>
              <w:top w:val="thickThinSmallGap" w:sz="24" w:space="0" w:color="auto"/>
              <w:left w:val="nil"/>
              <w:bottom w:val="nil"/>
              <w:right w:val="nil"/>
            </w:tcBorders>
          </w:tcPr>
          <w:p w14:paraId="6B803ED2" w14:textId="77777777" w:rsidR="00CC775B" w:rsidRPr="00B414C7" w:rsidRDefault="00CC775B" w:rsidP="00CC775B"/>
        </w:tc>
      </w:tr>
    </w:tbl>
    <w:p w14:paraId="6AA803DD" w14:textId="77777777" w:rsidR="00CB4DA4" w:rsidRPr="005457E2" w:rsidRDefault="00CB4DA4" w:rsidP="005457E2"/>
    <w:p w14:paraId="4AA92C6C" w14:textId="77777777" w:rsidR="005457E2" w:rsidRPr="005457E2" w:rsidRDefault="005457E2" w:rsidP="005457E2"/>
    <w:tbl>
      <w:tblPr>
        <w:tblW w:w="5000" w:type="pct"/>
        <w:tblCellMar>
          <w:left w:w="70" w:type="dxa"/>
          <w:right w:w="70" w:type="dxa"/>
        </w:tblCellMar>
        <w:tblLook w:val="0000" w:firstRow="0" w:lastRow="0" w:firstColumn="0" w:lastColumn="0" w:noHBand="0" w:noVBand="0"/>
      </w:tblPr>
      <w:tblGrid>
        <w:gridCol w:w="1609"/>
        <w:gridCol w:w="3067"/>
        <w:gridCol w:w="4958"/>
      </w:tblGrid>
      <w:tr w:rsidR="00F13777" w:rsidRPr="00B414C7" w14:paraId="2D18791A" w14:textId="77777777" w:rsidTr="00590145">
        <w:trPr>
          <w:cantSplit/>
          <w:tblHeader/>
        </w:trPr>
        <w:tc>
          <w:tcPr>
            <w:tcW w:w="835" w:type="pct"/>
            <w:tcBorders>
              <w:bottom w:val="single" w:sz="4" w:space="0" w:color="auto"/>
              <w:right w:val="single" w:sz="4" w:space="0" w:color="auto"/>
            </w:tcBorders>
            <w:shd w:val="clear" w:color="auto" w:fill="auto"/>
          </w:tcPr>
          <w:p w14:paraId="5719FDBB" w14:textId="77777777" w:rsidR="00F13777" w:rsidRPr="00B414C7" w:rsidRDefault="00F13777" w:rsidP="00430064">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B27C840" w14:textId="77777777" w:rsidR="00F13777" w:rsidRPr="00B414C7" w:rsidRDefault="00F13777" w:rsidP="00430064">
            <w:pPr>
              <w:pStyle w:val="ESS-TableHeader"/>
            </w:pPr>
            <w:r w:rsidRPr="00B414C7">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603A0681" w14:textId="77777777" w:rsidR="00F13777" w:rsidRPr="00B414C7" w:rsidRDefault="00F13777" w:rsidP="00430064">
            <w:pPr>
              <w:pStyle w:val="ESS-TableHeader"/>
            </w:pPr>
            <w:r w:rsidRPr="00B414C7">
              <w:t>Role/Title</w:t>
            </w:r>
          </w:p>
        </w:tc>
      </w:tr>
      <w:tr w:rsidR="00F13777" w:rsidRPr="00B414C7" w14:paraId="5F234280"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1EEAA60D" w14:textId="77777777" w:rsidR="00F13777" w:rsidRPr="00B414C7" w:rsidRDefault="00F13777" w:rsidP="00430064">
            <w:pPr>
              <w:pStyle w:val="ESS-TableHeader"/>
            </w:pPr>
            <w:r w:rsidRPr="00B414C7">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2AF0FEC4" w14:textId="77777777" w:rsidR="00F13777" w:rsidRPr="00B414C7" w:rsidRDefault="001B39B8" w:rsidP="00430064">
            <w:pPr>
              <w:pStyle w:val="ESS-TableText"/>
            </w:pPr>
            <w:r>
              <w:t>Adrien Perrichon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A6A67F6" w14:textId="77777777" w:rsidR="00F13777" w:rsidRPr="00B414C7" w:rsidRDefault="001B39B8" w:rsidP="00430064">
            <w:pPr>
              <w:pStyle w:val="ESS-TableText"/>
            </w:pPr>
            <w:r>
              <w:t>Lead Scientist for VESPA</w:t>
            </w:r>
          </w:p>
        </w:tc>
      </w:tr>
      <w:tr w:rsidR="001B39B8" w:rsidRPr="00B414C7" w14:paraId="2A1A4C83"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6BB052F" w14:textId="77777777" w:rsidR="001B39B8" w:rsidRPr="00B414C7" w:rsidRDefault="001B39B8" w:rsidP="00430064">
            <w:pPr>
              <w:pStyle w:val="ESS-TableHeader"/>
            </w:pPr>
            <w:r w:rsidRPr="00B414C7">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2FC2D05D" w14:textId="77777777" w:rsidR="006919F3" w:rsidRDefault="001B39B8" w:rsidP="00430064">
            <w:pPr>
              <w:pStyle w:val="ESS-TableText"/>
            </w:pPr>
            <w:r>
              <w:t>Pascale Deen</w:t>
            </w:r>
          </w:p>
          <w:p w14:paraId="5FC05607" w14:textId="77777777" w:rsidR="006919F3" w:rsidRDefault="001B39B8" w:rsidP="00430064">
            <w:pPr>
              <w:pStyle w:val="ESS-TableText"/>
            </w:pPr>
            <w:r>
              <w:t>Mikhail Feygenson</w:t>
            </w:r>
          </w:p>
          <w:p w14:paraId="70B12700" w14:textId="77777777" w:rsidR="001B39B8" w:rsidRPr="00B414C7" w:rsidRDefault="001B39B8" w:rsidP="00430064">
            <w:pPr>
              <w:pStyle w:val="ESS-TableText"/>
            </w:pPr>
            <w:r>
              <w:t>Andrew Jackson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573230BF" w14:textId="77777777" w:rsidR="001B39B8" w:rsidRDefault="001B39B8" w:rsidP="00430064">
            <w:pPr>
              <w:pStyle w:val="ESS-TableText"/>
            </w:pPr>
            <w:r>
              <w:t>Division Head</w:t>
            </w:r>
            <w:r w:rsidR="006919F3">
              <w:t xml:space="preserve"> for Spectroscopy</w:t>
            </w:r>
            <w:r>
              <w:t xml:space="preserve"> </w:t>
            </w:r>
          </w:p>
          <w:p w14:paraId="3B84F211" w14:textId="77777777" w:rsidR="006919F3" w:rsidRDefault="006919F3" w:rsidP="00430064">
            <w:pPr>
              <w:pStyle w:val="ESS-TableText"/>
            </w:pPr>
            <w:r>
              <w:t>Division Head for Diffraction &amp; Imaging</w:t>
            </w:r>
          </w:p>
          <w:p w14:paraId="7647587B" w14:textId="77777777" w:rsidR="006919F3" w:rsidRPr="00B414C7" w:rsidRDefault="006919F3" w:rsidP="00430064">
            <w:pPr>
              <w:pStyle w:val="ESS-TableText"/>
            </w:pPr>
            <w:r>
              <w:t>Division Head for Large Scale Structures</w:t>
            </w:r>
          </w:p>
        </w:tc>
      </w:tr>
      <w:tr w:rsidR="00F13777" w:rsidRPr="00B414C7" w14:paraId="1B4BD16A"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DF611BC" w14:textId="77777777" w:rsidR="00F13777" w:rsidRPr="00B414C7" w:rsidRDefault="00F13777" w:rsidP="00430064">
            <w:pPr>
              <w:pStyle w:val="ESS-TableHeader"/>
            </w:pPr>
            <w:r w:rsidRPr="00B414C7">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74133275" w14:textId="77777777" w:rsidR="00F13777" w:rsidRPr="00B414C7" w:rsidRDefault="001B39B8" w:rsidP="00430064">
            <w:pPr>
              <w:pStyle w:val="ESS-TableText"/>
            </w:pPr>
            <w:r>
              <w:rPr>
                <w:rFonts w:cs="Segoe UI Historic"/>
              </w:rPr>
              <w:t>Giovanna Fragneto</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F83B88E" w14:textId="77777777" w:rsidR="00F13777" w:rsidRPr="001B39B8" w:rsidRDefault="001B39B8" w:rsidP="00430064">
            <w:pPr>
              <w:pStyle w:val="ESS-TableText"/>
              <w:rPr>
                <w:rFonts w:cs="Segoe UI Historic"/>
                <w:lang w:val="en-US"/>
              </w:rPr>
            </w:pPr>
            <w:r>
              <w:rPr>
                <w:rFonts w:cs="Segoe UI Historic"/>
                <w:lang w:val="en-US"/>
              </w:rPr>
              <w:t>Science Director</w:t>
            </w:r>
          </w:p>
        </w:tc>
      </w:tr>
    </w:tbl>
    <w:p w14:paraId="46ADA154" w14:textId="77777777" w:rsidR="008E155D" w:rsidRPr="005457E2" w:rsidRDefault="008E155D" w:rsidP="005457E2"/>
    <w:p w14:paraId="0E12FAD8" w14:textId="77777777" w:rsidR="008E155D" w:rsidRPr="005457E2" w:rsidRDefault="008E155D" w:rsidP="005457E2"/>
    <w:p w14:paraId="092DF675" w14:textId="77777777" w:rsidR="0034671F" w:rsidRPr="005457E2" w:rsidRDefault="005226FB" w:rsidP="005457E2">
      <w:r w:rsidRPr="005457E2">
        <w:br w:type="page"/>
      </w:r>
    </w:p>
    <w:p w14:paraId="43548CA4" w14:textId="77777777" w:rsidR="00FE3B2D" w:rsidRDefault="00FE3B2D" w:rsidP="00FE3B2D">
      <w:pPr>
        <w:pStyle w:val="TOCHeading1"/>
      </w:pPr>
      <w:r w:rsidRPr="00FE3B2D">
        <w:lastRenderedPageBreak/>
        <w:t>TABLE OF CONTENT</w:t>
      </w:r>
      <w:r w:rsidRPr="00FE3B2D">
        <w:tab/>
        <w:t>PAGE</w:t>
      </w:r>
    </w:p>
    <w:p w14:paraId="1DA45AE1" w14:textId="77777777" w:rsidR="00D31955" w:rsidRDefault="00197B0F">
      <w:pPr>
        <w:pStyle w:val="TOC1"/>
        <w:rPr>
          <w:rFonts w:asciiTheme="minorHAnsi" w:eastAsiaTheme="minorEastAsia" w:hAnsiTheme="minorHAnsi" w:cstheme="minorBidi"/>
          <w:caps w:val="0"/>
          <w:lang w:eastAsia="en-GB"/>
        </w:rPr>
      </w:pPr>
      <w:r w:rsidRPr="00E84932">
        <w:fldChar w:fldCharType="begin"/>
      </w:r>
      <w:r w:rsidRPr="00E84932">
        <w:instrText xml:space="preserve"> TOC \o "1-3" \h \z </w:instrText>
      </w:r>
      <w:r w:rsidRPr="00E84932">
        <w:fldChar w:fldCharType="separate"/>
      </w:r>
      <w:hyperlink w:anchor="_Toc171669159" w:history="1">
        <w:r w:rsidR="00D31955" w:rsidRPr="00442879">
          <w:rPr>
            <w:rStyle w:val="Hyperlink"/>
          </w:rPr>
          <w:t>1.</w:t>
        </w:r>
        <w:r w:rsidR="00D31955">
          <w:rPr>
            <w:rFonts w:asciiTheme="minorHAnsi" w:eastAsiaTheme="minorEastAsia" w:hAnsiTheme="minorHAnsi" w:cstheme="minorBidi"/>
            <w:caps w:val="0"/>
            <w:lang w:eastAsia="en-GB"/>
          </w:rPr>
          <w:tab/>
        </w:r>
        <w:r w:rsidR="00D31955" w:rsidRPr="00442879">
          <w:rPr>
            <w:rStyle w:val="Hyperlink"/>
          </w:rPr>
          <w:t>AIM</w:t>
        </w:r>
        <w:r w:rsidR="00D31955">
          <w:rPr>
            <w:webHidden/>
          </w:rPr>
          <w:tab/>
        </w:r>
        <w:r w:rsidR="00D31955">
          <w:rPr>
            <w:webHidden/>
          </w:rPr>
          <w:fldChar w:fldCharType="begin"/>
        </w:r>
        <w:r w:rsidR="00D31955">
          <w:rPr>
            <w:webHidden/>
          </w:rPr>
          <w:instrText xml:space="preserve"> PAGEREF _Toc171669159 \h </w:instrText>
        </w:r>
        <w:r w:rsidR="00D31955">
          <w:rPr>
            <w:webHidden/>
          </w:rPr>
        </w:r>
        <w:r w:rsidR="00D31955">
          <w:rPr>
            <w:webHidden/>
          </w:rPr>
          <w:fldChar w:fldCharType="separate"/>
        </w:r>
        <w:r w:rsidR="00D31955">
          <w:rPr>
            <w:webHidden/>
          </w:rPr>
          <w:t>3</w:t>
        </w:r>
        <w:r w:rsidR="00D31955">
          <w:rPr>
            <w:webHidden/>
          </w:rPr>
          <w:fldChar w:fldCharType="end"/>
        </w:r>
      </w:hyperlink>
    </w:p>
    <w:p w14:paraId="453F2169" w14:textId="77777777" w:rsidR="00D31955" w:rsidRDefault="00000000">
      <w:pPr>
        <w:pStyle w:val="TOC1"/>
        <w:rPr>
          <w:rFonts w:asciiTheme="minorHAnsi" w:eastAsiaTheme="minorEastAsia" w:hAnsiTheme="minorHAnsi" w:cstheme="minorBidi"/>
          <w:caps w:val="0"/>
          <w:lang w:eastAsia="en-GB"/>
        </w:rPr>
      </w:pPr>
      <w:hyperlink w:anchor="_Toc171669160" w:history="1">
        <w:r w:rsidR="00D31955" w:rsidRPr="00442879">
          <w:rPr>
            <w:rStyle w:val="Hyperlink"/>
          </w:rPr>
          <w:t>2.</w:t>
        </w:r>
        <w:r w:rsidR="00D31955">
          <w:rPr>
            <w:rFonts w:asciiTheme="minorHAnsi" w:eastAsiaTheme="minorEastAsia" w:hAnsiTheme="minorHAnsi" w:cstheme="minorBidi"/>
            <w:caps w:val="0"/>
            <w:lang w:eastAsia="en-GB"/>
          </w:rPr>
          <w:tab/>
        </w:r>
        <w:r w:rsidR="00D31955" w:rsidRPr="00442879">
          <w:rPr>
            <w:rStyle w:val="Hyperlink"/>
          </w:rPr>
          <w:t>Introduction</w:t>
        </w:r>
        <w:r w:rsidR="00D31955">
          <w:rPr>
            <w:webHidden/>
          </w:rPr>
          <w:tab/>
        </w:r>
        <w:r w:rsidR="00D31955">
          <w:rPr>
            <w:webHidden/>
          </w:rPr>
          <w:fldChar w:fldCharType="begin"/>
        </w:r>
        <w:r w:rsidR="00D31955">
          <w:rPr>
            <w:webHidden/>
          </w:rPr>
          <w:instrText xml:space="preserve"> PAGEREF _Toc171669160 \h </w:instrText>
        </w:r>
        <w:r w:rsidR="00D31955">
          <w:rPr>
            <w:webHidden/>
          </w:rPr>
        </w:r>
        <w:r w:rsidR="00D31955">
          <w:rPr>
            <w:webHidden/>
          </w:rPr>
          <w:fldChar w:fldCharType="separate"/>
        </w:r>
        <w:r w:rsidR="00D31955">
          <w:rPr>
            <w:webHidden/>
          </w:rPr>
          <w:t>3</w:t>
        </w:r>
        <w:r w:rsidR="00D31955">
          <w:rPr>
            <w:webHidden/>
          </w:rPr>
          <w:fldChar w:fldCharType="end"/>
        </w:r>
      </w:hyperlink>
    </w:p>
    <w:p w14:paraId="21F1916A" w14:textId="77777777" w:rsidR="00D31955" w:rsidRDefault="00000000">
      <w:pPr>
        <w:pStyle w:val="TOC1"/>
        <w:rPr>
          <w:rFonts w:asciiTheme="minorHAnsi" w:eastAsiaTheme="minorEastAsia" w:hAnsiTheme="minorHAnsi" w:cstheme="minorBidi"/>
          <w:caps w:val="0"/>
          <w:lang w:eastAsia="en-GB"/>
        </w:rPr>
      </w:pPr>
      <w:hyperlink w:anchor="_Toc171669161" w:history="1">
        <w:r w:rsidR="00D31955" w:rsidRPr="00442879">
          <w:rPr>
            <w:rStyle w:val="Hyperlink"/>
          </w:rPr>
          <w:t>3.</w:t>
        </w:r>
        <w:r w:rsidR="00D31955">
          <w:rPr>
            <w:rFonts w:asciiTheme="minorHAnsi" w:eastAsiaTheme="minorEastAsia" w:hAnsiTheme="minorHAnsi" w:cstheme="minorBidi"/>
            <w:caps w:val="0"/>
            <w:lang w:eastAsia="en-GB"/>
          </w:rPr>
          <w:tab/>
        </w:r>
        <w:r w:rsidR="00D31955" w:rsidRPr="00442879">
          <w:rPr>
            <w:rStyle w:val="Hyperlink"/>
          </w:rPr>
          <w:t>Figure of merits</w:t>
        </w:r>
        <w:r w:rsidR="00D31955">
          <w:rPr>
            <w:webHidden/>
          </w:rPr>
          <w:tab/>
        </w:r>
        <w:r w:rsidR="00D31955">
          <w:rPr>
            <w:webHidden/>
          </w:rPr>
          <w:fldChar w:fldCharType="begin"/>
        </w:r>
        <w:r w:rsidR="00D31955">
          <w:rPr>
            <w:webHidden/>
          </w:rPr>
          <w:instrText xml:space="preserve"> PAGEREF _Toc171669161 \h </w:instrText>
        </w:r>
        <w:r w:rsidR="00D31955">
          <w:rPr>
            <w:webHidden/>
          </w:rPr>
        </w:r>
        <w:r w:rsidR="00D31955">
          <w:rPr>
            <w:webHidden/>
          </w:rPr>
          <w:fldChar w:fldCharType="separate"/>
        </w:r>
        <w:r w:rsidR="00D31955">
          <w:rPr>
            <w:webHidden/>
          </w:rPr>
          <w:t>3</w:t>
        </w:r>
        <w:r w:rsidR="00D31955">
          <w:rPr>
            <w:webHidden/>
          </w:rPr>
          <w:fldChar w:fldCharType="end"/>
        </w:r>
      </w:hyperlink>
    </w:p>
    <w:p w14:paraId="4B6441EF" w14:textId="77777777" w:rsidR="00D31955" w:rsidRDefault="00000000">
      <w:pPr>
        <w:pStyle w:val="TOC2"/>
        <w:rPr>
          <w:rFonts w:asciiTheme="minorHAnsi" w:eastAsiaTheme="minorEastAsia" w:hAnsiTheme="minorHAnsi" w:cstheme="minorBidi"/>
          <w:lang w:eastAsia="en-GB"/>
        </w:rPr>
      </w:pPr>
      <w:hyperlink w:anchor="_Toc171669162" w:history="1">
        <w:r w:rsidR="00D31955" w:rsidRPr="00442879">
          <w:rPr>
            <w:rStyle w:val="Hyperlink"/>
          </w:rPr>
          <w:t>3.1.</w:t>
        </w:r>
        <w:r w:rsidR="00D31955">
          <w:rPr>
            <w:rFonts w:asciiTheme="minorHAnsi" w:eastAsiaTheme="minorEastAsia" w:hAnsiTheme="minorHAnsi" w:cstheme="minorBidi"/>
            <w:lang w:eastAsia="en-GB"/>
          </w:rPr>
          <w:tab/>
        </w:r>
        <w:r w:rsidR="00D31955" w:rsidRPr="00442879">
          <w:rPr>
            <w:rStyle w:val="Hyperlink"/>
          </w:rPr>
          <w:t>Detected intensity</w:t>
        </w:r>
        <w:r w:rsidR="00D31955">
          <w:rPr>
            <w:webHidden/>
          </w:rPr>
          <w:tab/>
        </w:r>
        <w:r w:rsidR="00D31955">
          <w:rPr>
            <w:webHidden/>
          </w:rPr>
          <w:fldChar w:fldCharType="begin"/>
        </w:r>
        <w:r w:rsidR="00D31955">
          <w:rPr>
            <w:webHidden/>
          </w:rPr>
          <w:instrText xml:space="preserve"> PAGEREF _Toc171669162 \h </w:instrText>
        </w:r>
        <w:r w:rsidR="00D31955">
          <w:rPr>
            <w:webHidden/>
          </w:rPr>
        </w:r>
        <w:r w:rsidR="00D31955">
          <w:rPr>
            <w:webHidden/>
          </w:rPr>
          <w:fldChar w:fldCharType="separate"/>
        </w:r>
        <w:r w:rsidR="00D31955">
          <w:rPr>
            <w:webHidden/>
          </w:rPr>
          <w:t>3</w:t>
        </w:r>
        <w:r w:rsidR="00D31955">
          <w:rPr>
            <w:webHidden/>
          </w:rPr>
          <w:fldChar w:fldCharType="end"/>
        </w:r>
      </w:hyperlink>
    </w:p>
    <w:p w14:paraId="60425107" w14:textId="77777777" w:rsidR="00D31955" w:rsidRDefault="00000000">
      <w:pPr>
        <w:pStyle w:val="TOC2"/>
        <w:rPr>
          <w:rFonts w:asciiTheme="minorHAnsi" w:eastAsiaTheme="minorEastAsia" w:hAnsiTheme="minorHAnsi" w:cstheme="minorBidi"/>
          <w:lang w:eastAsia="en-GB"/>
        </w:rPr>
      </w:pPr>
      <w:hyperlink w:anchor="_Toc171669163" w:history="1">
        <w:r w:rsidR="00D31955" w:rsidRPr="00442879">
          <w:rPr>
            <w:rStyle w:val="Hyperlink"/>
          </w:rPr>
          <w:t>3.2.</w:t>
        </w:r>
        <w:r w:rsidR="00D31955">
          <w:rPr>
            <w:rFonts w:asciiTheme="minorHAnsi" w:eastAsiaTheme="minorEastAsia" w:hAnsiTheme="minorHAnsi" w:cstheme="minorBidi"/>
            <w:lang w:eastAsia="en-GB"/>
          </w:rPr>
          <w:tab/>
        </w:r>
        <w:r w:rsidR="00D31955" w:rsidRPr="00442879">
          <w:rPr>
            <w:rStyle w:val="Hyperlink"/>
          </w:rPr>
          <w:t>Signal-to-noise</w:t>
        </w:r>
        <w:r w:rsidR="00D31955">
          <w:rPr>
            <w:webHidden/>
          </w:rPr>
          <w:tab/>
        </w:r>
        <w:r w:rsidR="00D31955">
          <w:rPr>
            <w:webHidden/>
          </w:rPr>
          <w:fldChar w:fldCharType="begin"/>
        </w:r>
        <w:r w:rsidR="00D31955">
          <w:rPr>
            <w:webHidden/>
          </w:rPr>
          <w:instrText xml:space="preserve"> PAGEREF _Toc171669163 \h </w:instrText>
        </w:r>
        <w:r w:rsidR="00D31955">
          <w:rPr>
            <w:webHidden/>
          </w:rPr>
        </w:r>
        <w:r w:rsidR="00D31955">
          <w:rPr>
            <w:webHidden/>
          </w:rPr>
          <w:fldChar w:fldCharType="separate"/>
        </w:r>
        <w:r w:rsidR="00D31955">
          <w:rPr>
            <w:webHidden/>
          </w:rPr>
          <w:t>4</w:t>
        </w:r>
        <w:r w:rsidR="00D31955">
          <w:rPr>
            <w:webHidden/>
          </w:rPr>
          <w:fldChar w:fldCharType="end"/>
        </w:r>
      </w:hyperlink>
    </w:p>
    <w:p w14:paraId="6B2B6643" w14:textId="77777777" w:rsidR="00D31955" w:rsidRDefault="00000000">
      <w:pPr>
        <w:pStyle w:val="TOC1"/>
        <w:rPr>
          <w:rFonts w:asciiTheme="minorHAnsi" w:eastAsiaTheme="minorEastAsia" w:hAnsiTheme="minorHAnsi" w:cstheme="minorBidi"/>
          <w:caps w:val="0"/>
          <w:lang w:eastAsia="en-GB"/>
        </w:rPr>
      </w:pPr>
      <w:hyperlink w:anchor="_Toc171669164" w:history="1">
        <w:r w:rsidR="00D31955" w:rsidRPr="00442879">
          <w:rPr>
            <w:rStyle w:val="Hyperlink"/>
          </w:rPr>
          <w:t>4.</w:t>
        </w:r>
        <w:r w:rsidR="00D31955">
          <w:rPr>
            <w:rFonts w:asciiTheme="minorHAnsi" w:eastAsiaTheme="minorEastAsia" w:hAnsiTheme="minorHAnsi" w:cstheme="minorBidi"/>
            <w:caps w:val="0"/>
            <w:lang w:eastAsia="en-GB"/>
          </w:rPr>
          <w:tab/>
        </w:r>
        <w:r w:rsidR="00D31955" w:rsidRPr="00442879">
          <w:rPr>
            <w:rStyle w:val="Hyperlink"/>
          </w:rPr>
          <w:t>Added scope: spectroscopy MODULES</w:t>
        </w:r>
        <w:r w:rsidR="00D31955">
          <w:rPr>
            <w:webHidden/>
          </w:rPr>
          <w:tab/>
        </w:r>
        <w:r w:rsidR="00D31955">
          <w:rPr>
            <w:webHidden/>
          </w:rPr>
          <w:fldChar w:fldCharType="begin"/>
        </w:r>
        <w:r w:rsidR="00D31955">
          <w:rPr>
            <w:webHidden/>
          </w:rPr>
          <w:instrText xml:space="preserve"> PAGEREF _Toc171669164 \h </w:instrText>
        </w:r>
        <w:r w:rsidR="00D31955">
          <w:rPr>
            <w:webHidden/>
          </w:rPr>
        </w:r>
        <w:r w:rsidR="00D31955">
          <w:rPr>
            <w:webHidden/>
          </w:rPr>
          <w:fldChar w:fldCharType="separate"/>
        </w:r>
        <w:r w:rsidR="00D31955">
          <w:rPr>
            <w:webHidden/>
          </w:rPr>
          <w:t>5</w:t>
        </w:r>
        <w:r w:rsidR="00D31955">
          <w:rPr>
            <w:webHidden/>
          </w:rPr>
          <w:fldChar w:fldCharType="end"/>
        </w:r>
      </w:hyperlink>
    </w:p>
    <w:p w14:paraId="7AFF07AE" w14:textId="77777777" w:rsidR="00D31955" w:rsidRDefault="00000000">
      <w:pPr>
        <w:pStyle w:val="TOC2"/>
        <w:rPr>
          <w:rFonts w:asciiTheme="minorHAnsi" w:eastAsiaTheme="minorEastAsia" w:hAnsiTheme="minorHAnsi" w:cstheme="minorBidi"/>
          <w:lang w:eastAsia="en-GB"/>
        </w:rPr>
      </w:pPr>
      <w:hyperlink w:anchor="_Toc171669165" w:history="1">
        <w:r w:rsidR="00D31955" w:rsidRPr="00442879">
          <w:rPr>
            <w:rStyle w:val="Hyperlink"/>
          </w:rPr>
          <w:t>4.1.</w:t>
        </w:r>
        <w:r w:rsidR="00D31955">
          <w:rPr>
            <w:rFonts w:asciiTheme="minorHAnsi" w:eastAsiaTheme="minorEastAsia" w:hAnsiTheme="minorHAnsi" w:cstheme="minorBidi"/>
            <w:lang w:eastAsia="en-GB"/>
          </w:rPr>
          <w:tab/>
        </w:r>
        <w:r w:rsidR="00D31955" w:rsidRPr="00442879">
          <w:rPr>
            <w:rStyle w:val="Hyperlink"/>
          </w:rPr>
          <w:t>Description &amp; costing</w:t>
        </w:r>
        <w:r w:rsidR="00D31955">
          <w:rPr>
            <w:webHidden/>
          </w:rPr>
          <w:tab/>
        </w:r>
        <w:r w:rsidR="00D31955">
          <w:rPr>
            <w:webHidden/>
          </w:rPr>
          <w:fldChar w:fldCharType="begin"/>
        </w:r>
        <w:r w:rsidR="00D31955">
          <w:rPr>
            <w:webHidden/>
          </w:rPr>
          <w:instrText xml:space="preserve"> PAGEREF _Toc171669165 \h </w:instrText>
        </w:r>
        <w:r w:rsidR="00D31955">
          <w:rPr>
            <w:webHidden/>
          </w:rPr>
        </w:r>
        <w:r w:rsidR="00D31955">
          <w:rPr>
            <w:webHidden/>
          </w:rPr>
          <w:fldChar w:fldCharType="separate"/>
        </w:r>
        <w:r w:rsidR="00D31955">
          <w:rPr>
            <w:webHidden/>
          </w:rPr>
          <w:t>5</w:t>
        </w:r>
        <w:r w:rsidR="00D31955">
          <w:rPr>
            <w:webHidden/>
          </w:rPr>
          <w:fldChar w:fldCharType="end"/>
        </w:r>
      </w:hyperlink>
    </w:p>
    <w:p w14:paraId="24D69B45" w14:textId="77777777" w:rsidR="00D31955" w:rsidRDefault="00000000">
      <w:pPr>
        <w:pStyle w:val="TOC2"/>
        <w:rPr>
          <w:rFonts w:asciiTheme="minorHAnsi" w:eastAsiaTheme="minorEastAsia" w:hAnsiTheme="minorHAnsi" w:cstheme="minorBidi"/>
          <w:lang w:eastAsia="en-GB"/>
        </w:rPr>
      </w:pPr>
      <w:hyperlink w:anchor="_Toc171669166" w:history="1">
        <w:r w:rsidR="00D31955" w:rsidRPr="00442879">
          <w:rPr>
            <w:rStyle w:val="Hyperlink"/>
          </w:rPr>
          <w:t>4.2.</w:t>
        </w:r>
        <w:r w:rsidR="00D31955">
          <w:rPr>
            <w:rFonts w:asciiTheme="minorHAnsi" w:eastAsiaTheme="minorEastAsia" w:hAnsiTheme="minorHAnsi" w:cstheme="minorBidi"/>
            <w:lang w:eastAsia="en-GB"/>
          </w:rPr>
          <w:tab/>
        </w:r>
        <w:r w:rsidR="00D31955" w:rsidRPr="00442879">
          <w:rPr>
            <w:rStyle w:val="Hyperlink"/>
          </w:rPr>
          <w:t>Instrument performance</w:t>
        </w:r>
        <w:r w:rsidR="00D31955">
          <w:rPr>
            <w:webHidden/>
          </w:rPr>
          <w:tab/>
        </w:r>
        <w:r w:rsidR="00D31955">
          <w:rPr>
            <w:webHidden/>
          </w:rPr>
          <w:fldChar w:fldCharType="begin"/>
        </w:r>
        <w:r w:rsidR="00D31955">
          <w:rPr>
            <w:webHidden/>
          </w:rPr>
          <w:instrText xml:space="preserve"> PAGEREF _Toc171669166 \h </w:instrText>
        </w:r>
        <w:r w:rsidR="00D31955">
          <w:rPr>
            <w:webHidden/>
          </w:rPr>
        </w:r>
        <w:r w:rsidR="00D31955">
          <w:rPr>
            <w:webHidden/>
          </w:rPr>
          <w:fldChar w:fldCharType="separate"/>
        </w:r>
        <w:r w:rsidR="00D31955">
          <w:rPr>
            <w:webHidden/>
          </w:rPr>
          <w:t>6</w:t>
        </w:r>
        <w:r w:rsidR="00D31955">
          <w:rPr>
            <w:webHidden/>
          </w:rPr>
          <w:fldChar w:fldCharType="end"/>
        </w:r>
      </w:hyperlink>
    </w:p>
    <w:p w14:paraId="580F5FAF" w14:textId="77777777" w:rsidR="00D31955" w:rsidRDefault="00000000">
      <w:pPr>
        <w:pStyle w:val="TOC2"/>
        <w:rPr>
          <w:rFonts w:asciiTheme="minorHAnsi" w:eastAsiaTheme="minorEastAsia" w:hAnsiTheme="minorHAnsi" w:cstheme="minorBidi"/>
          <w:lang w:eastAsia="en-GB"/>
        </w:rPr>
      </w:pPr>
      <w:hyperlink w:anchor="_Toc171669167" w:history="1">
        <w:r w:rsidR="00D31955" w:rsidRPr="00442879">
          <w:rPr>
            <w:rStyle w:val="Hyperlink"/>
          </w:rPr>
          <w:t>4.3.</w:t>
        </w:r>
        <w:r w:rsidR="00D31955">
          <w:rPr>
            <w:rFonts w:asciiTheme="minorHAnsi" w:eastAsiaTheme="minorEastAsia" w:hAnsiTheme="minorHAnsi" w:cstheme="minorBidi"/>
            <w:lang w:eastAsia="en-GB"/>
          </w:rPr>
          <w:tab/>
        </w:r>
        <w:r w:rsidR="00D31955" w:rsidRPr="00442879">
          <w:rPr>
            <w:rStyle w:val="Hyperlink"/>
          </w:rPr>
          <w:t>Cost-benefit evaluation</w:t>
        </w:r>
        <w:r w:rsidR="00D31955">
          <w:rPr>
            <w:webHidden/>
          </w:rPr>
          <w:tab/>
        </w:r>
        <w:r w:rsidR="00D31955">
          <w:rPr>
            <w:webHidden/>
          </w:rPr>
          <w:fldChar w:fldCharType="begin"/>
        </w:r>
        <w:r w:rsidR="00D31955">
          <w:rPr>
            <w:webHidden/>
          </w:rPr>
          <w:instrText xml:space="preserve"> PAGEREF _Toc171669167 \h </w:instrText>
        </w:r>
        <w:r w:rsidR="00D31955">
          <w:rPr>
            <w:webHidden/>
          </w:rPr>
        </w:r>
        <w:r w:rsidR="00D31955">
          <w:rPr>
            <w:webHidden/>
          </w:rPr>
          <w:fldChar w:fldCharType="separate"/>
        </w:r>
        <w:r w:rsidR="00D31955">
          <w:rPr>
            <w:webHidden/>
          </w:rPr>
          <w:t>7</w:t>
        </w:r>
        <w:r w:rsidR="00D31955">
          <w:rPr>
            <w:webHidden/>
          </w:rPr>
          <w:fldChar w:fldCharType="end"/>
        </w:r>
      </w:hyperlink>
    </w:p>
    <w:p w14:paraId="60D6B090" w14:textId="77777777" w:rsidR="00D31955" w:rsidRDefault="00000000">
      <w:pPr>
        <w:pStyle w:val="TOC1"/>
        <w:rPr>
          <w:rFonts w:asciiTheme="minorHAnsi" w:eastAsiaTheme="minorEastAsia" w:hAnsiTheme="minorHAnsi" w:cstheme="minorBidi"/>
          <w:caps w:val="0"/>
          <w:lang w:eastAsia="en-GB"/>
        </w:rPr>
      </w:pPr>
      <w:hyperlink w:anchor="_Toc171669168" w:history="1">
        <w:r w:rsidR="00D31955" w:rsidRPr="00442879">
          <w:rPr>
            <w:rStyle w:val="Hyperlink"/>
          </w:rPr>
          <w:t>5.</w:t>
        </w:r>
        <w:r w:rsidR="00D31955">
          <w:rPr>
            <w:rFonts w:asciiTheme="minorHAnsi" w:eastAsiaTheme="minorEastAsia" w:hAnsiTheme="minorHAnsi" w:cstheme="minorBidi"/>
            <w:caps w:val="0"/>
            <w:lang w:eastAsia="en-GB"/>
          </w:rPr>
          <w:tab/>
        </w:r>
        <w:r w:rsidR="00D31955" w:rsidRPr="00442879">
          <w:rPr>
            <w:rStyle w:val="Hyperlink"/>
          </w:rPr>
          <w:t>Added scope: T0 chopper</w:t>
        </w:r>
        <w:r w:rsidR="00D31955">
          <w:rPr>
            <w:webHidden/>
          </w:rPr>
          <w:tab/>
        </w:r>
        <w:r w:rsidR="00D31955">
          <w:rPr>
            <w:webHidden/>
          </w:rPr>
          <w:fldChar w:fldCharType="begin"/>
        </w:r>
        <w:r w:rsidR="00D31955">
          <w:rPr>
            <w:webHidden/>
          </w:rPr>
          <w:instrText xml:space="preserve"> PAGEREF _Toc171669168 \h </w:instrText>
        </w:r>
        <w:r w:rsidR="00D31955">
          <w:rPr>
            <w:webHidden/>
          </w:rPr>
        </w:r>
        <w:r w:rsidR="00D31955">
          <w:rPr>
            <w:webHidden/>
          </w:rPr>
          <w:fldChar w:fldCharType="separate"/>
        </w:r>
        <w:r w:rsidR="00D31955">
          <w:rPr>
            <w:webHidden/>
          </w:rPr>
          <w:t>7</w:t>
        </w:r>
        <w:r w:rsidR="00D31955">
          <w:rPr>
            <w:webHidden/>
          </w:rPr>
          <w:fldChar w:fldCharType="end"/>
        </w:r>
      </w:hyperlink>
    </w:p>
    <w:p w14:paraId="2740650C" w14:textId="77777777" w:rsidR="00D31955" w:rsidRDefault="00000000">
      <w:pPr>
        <w:pStyle w:val="TOC2"/>
        <w:rPr>
          <w:rFonts w:asciiTheme="minorHAnsi" w:eastAsiaTheme="minorEastAsia" w:hAnsiTheme="minorHAnsi" w:cstheme="minorBidi"/>
          <w:lang w:eastAsia="en-GB"/>
        </w:rPr>
      </w:pPr>
      <w:hyperlink w:anchor="_Toc171669169" w:history="1">
        <w:r w:rsidR="00D31955" w:rsidRPr="00442879">
          <w:rPr>
            <w:rStyle w:val="Hyperlink"/>
          </w:rPr>
          <w:t>5.1.</w:t>
        </w:r>
        <w:r w:rsidR="00D31955">
          <w:rPr>
            <w:rFonts w:asciiTheme="minorHAnsi" w:eastAsiaTheme="minorEastAsia" w:hAnsiTheme="minorHAnsi" w:cstheme="minorBidi"/>
            <w:lang w:eastAsia="en-GB"/>
          </w:rPr>
          <w:tab/>
        </w:r>
        <w:r w:rsidR="00D31955" w:rsidRPr="00442879">
          <w:rPr>
            <w:rStyle w:val="Hyperlink"/>
          </w:rPr>
          <w:t>Description &amp; costing</w:t>
        </w:r>
        <w:r w:rsidR="00D31955">
          <w:rPr>
            <w:webHidden/>
          </w:rPr>
          <w:tab/>
        </w:r>
        <w:r w:rsidR="00D31955">
          <w:rPr>
            <w:webHidden/>
          </w:rPr>
          <w:fldChar w:fldCharType="begin"/>
        </w:r>
        <w:r w:rsidR="00D31955">
          <w:rPr>
            <w:webHidden/>
          </w:rPr>
          <w:instrText xml:space="preserve"> PAGEREF _Toc171669169 \h </w:instrText>
        </w:r>
        <w:r w:rsidR="00D31955">
          <w:rPr>
            <w:webHidden/>
          </w:rPr>
        </w:r>
        <w:r w:rsidR="00D31955">
          <w:rPr>
            <w:webHidden/>
          </w:rPr>
          <w:fldChar w:fldCharType="separate"/>
        </w:r>
        <w:r w:rsidR="00D31955">
          <w:rPr>
            <w:webHidden/>
          </w:rPr>
          <w:t>7</w:t>
        </w:r>
        <w:r w:rsidR="00D31955">
          <w:rPr>
            <w:webHidden/>
          </w:rPr>
          <w:fldChar w:fldCharType="end"/>
        </w:r>
      </w:hyperlink>
    </w:p>
    <w:p w14:paraId="6C7143F0" w14:textId="77777777" w:rsidR="00D31955" w:rsidRDefault="00000000">
      <w:pPr>
        <w:pStyle w:val="TOC2"/>
        <w:rPr>
          <w:rFonts w:asciiTheme="minorHAnsi" w:eastAsiaTheme="minorEastAsia" w:hAnsiTheme="minorHAnsi" w:cstheme="minorBidi"/>
          <w:lang w:eastAsia="en-GB"/>
        </w:rPr>
      </w:pPr>
      <w:hyperlink w:anchor="_Toc171669170" w:history="1">
        <w:r w:rsidR="00D31955" w:rsidRPr="00442879">
          <w:rPr>
            <w:rStyle w:val="Hyperlink"/>
          </w:rPr>
          <w:t>5.2.</w:t>
        </w:r>
        <w:r w:rsidR="00D31955">
          <w:rPr>
            <w:rFonts w:asciiTheme="minorHAnsi" w:eastAsiaTheme="minorEastAsia" w:hAnsiTheme="minorHAnsi" w:cstheme="minorBidi"/>
            <w:lang w:eastAsia="en-GB"/>
          </w:rPr>
          <w:tab/>
        </w:r>
        <w:r w:rsidR="00D31955" w:rsidRPr="00442879">
          <w:rPr>
            <w:rStyle w:val="Hyperlink"/>
          </w:rPr>
          <w:t>Cost-benefit evaluation</w:t>
        </w:r>
        <w:r w:rsidR="00D31955">
          <w:rPr>
            <w:webHidden/>
          </w:rPr>
          <w:tab/>
        </w:r>
        <w:r w:rsidR="00D31955">
          <w:rPr>
            <w:webHidden/>
          </w:rPr>
          <w:fldChar w:fldCharType="begin"/>
        </w:r>
        <w:r w:rsidR="00D31955">
          <w:rPr>
            <w:webHidden/>
          </w:rPr>
          <w:instrText xml:space="preserve"> PAGEREF _Toc171669170 \h </w:instrText>
        </w:r>
        <w:r w:rsidR="00D31955">
          <w:rPr>
            <w:webHidden/>
          </w:rPr>
        </w:r>
        <w:r w:rsidR="00D31955">
          <w:rPr>
            <w:webHidden/>
          </w:rPr>
          <w:fldChar w:fldCharType="separate"/>
        </w:r>
        <w:r w:rsidR="00D31955">
          <w:rPr>
            <w:webHidden/>
          </w:rPr>
          <w:t>7</w:t>
        </w:r>
        <w:r w:rsidR="00D31955">
          <w:rPr>
            <w:webHidden/>
          </w:rPr>
          <w:fldChar w:fldCharType="end"/>
        </w:r>
      </w:hyperlink>
    </w:p>
    <w:p w14:paraId="5048526F" w14:textId="77777777" w:rsidR="00D31955" w:rsidRDefault="00000000">
      <w:pPr>
        <w:pStyle w:val="TOC1"/>
        <w:rPr>
          <w:rFonts w:asciiTheme="minorHAnsi" w:eastAsiaTheme="minorEastAsia" w:hAnsiTheme="minorHAnsi" w:cstheme="minorBidi"/>
          <w:caps w:val="0"/>
          <w:lang w:eastAsia="en-GB"/>
        </w:rPr>
      </w:pPr>
      <w:hyperlink w:anchor="_Toc171669171" w:history="1">
        <w:r w:rsidR="00D31955" w:rsidRPr="00442879">
          <w:rPr>
            <w:rStyle w:val="Hyperlink"/>
          </w:rPr>
          <w:t>6.</w:t>
        </w:r>
        <w:r w:rsidR="00D31955">
          <w:rPr>
            <w:rFonts w:asciiTheme="minorHAnsi" w:eastAsiaTheme="minorEastAsia" w:hAnsiTheme="minorHAnsi" w:cstheme="minorBidi"/>
            <w:caps w:val="0"/>
            <w:lang w:eastAsia="en-GB"/>
          </w:rPr>
          <w:tab/>
        </w:r>
        <w:r w:rsidR="00D31955" w:rsidRPr="00442879">
          <w:rPr>
            <w:rStyle w:val="Hyperlink"/>
          </w:rPr>
          <w:t>Added scope: diffraction panels</w:t>
        </w:r>
        <w:r w:rsidR="00D31955">
          <w:rPr>
            <w:webHidden/>
          </w:rPr>
          <w:tab/>
        </w:r>
        <w:r w:rsidR="00D31955">
          <w:rPr>
            <w:webHidden/>
          </w:rPr>
          <w:fldChar w:fldCharType="begin"/>
        </w:r>
        <w:r w:rsidR="00D31955">
          <w:rPr>
            <w:webHidden/>
          </w:rPr>
          <w:instrText xml:space="preserve"> PAGEREF _Toc171669171 \h </w:instrText>
        </w:r>
        <w:r w:rsidR="00D31955">
          <w:rPr>
            <w:webHidden/>
          </w:rPr>
        </w:r>
        <w:r w:rsidR="00D31955">
          <w:rPr>
            <w:webHidden/>
          </w:rPr>
          <w:fldChar w:fldCharType="separate"/>
        </w:r>
        <w:r w:rsidR="00D31955">
          <w:rPr>
            <w:webHidden/>
          </w:rPr>
          <w:t>8</w:t>
        </w:r>
        <w:r w:rsidR="00D31955">
          <w:rPr>
            <w:webHidden/>
          </w:rPr>
          <w:fldChar w:fldCharType="end"/>
        </w:r>
      </w:hyperlink>
    </w:p>
    <w:p w14:paraId="018F5D18" w14:textId="77777777" w:rsidR="00D31955" w:rsidRDefault="00000000">
      <w:pPr>
        <w:pStyle w:val="TOC1"/>
        <w:rPr>
          <w:rFonts w:asciiTheme="minorHAnsi" w:eastAsiaTheme="minorEastAsia" w:hAnsiTheme="minorHAnsi" w:cstheme="minorBidi"/>
          <w:caps w:val="0"/>
          <w:lang w:eastAsia="en-GB"/>
        </w:rPr>
      </w:pPr>
      <w:hyperlink w:anchor="_Toc171669172" w:history="1">
        <w:r w:rsidR="00D31955" w:rsidRPr="00442879">
          <w:rPr>
            <w:rStyle w:val="Hyperlink"/>
          </w:rPr>
          <w:t>7.</w:t>
        </w:r>
        <w:r w:rsidR="00D31955">
          <w:rPr>
            <w:rFonts w:asciiTheme="minorHAnsi" w:eastAsiaTheme="minorEastAsia" w:hAnsiTheme="minorHAnsi" w:cstheme="minorBidi"/>
            <w:caps w:val="0"/>
            <w:lang w:eastAsia="en-GB"/>
          </w:rPr>
          <w:tab/>
        </w:r>
        <w:r w:rsidR="00D31955" w:rsidRPr="00442879">
          <w:rPr>
            <w:rStyle w:val="Hyperlink"/>
          </w:rPr>
          <w:t>CONCLUSIONS AND RECOMMENDATIONS</w:t>
        </w:r>
        <w:r w:rsidR="00D31955">
          <w:rPr>
            <w:webHidden/>
          </w:rPr>
          <w:tab/>
        </w:r>
        <w:r w:rsidR="00D31955">
          <w:rPr>
            <w:webHidden/>
          </w:rPr>
          <w:fldChar w:fldCharType="begin"/>
        </w:r>
        <w:r w:rsidR="00D31955">
          <w:rPr>
            <w:webHidden/>
          </w:rPr>
          <w:instrText xml:space="preserve"> PAGEREF _Toc171669172 \h </w:instrText>
        </w:r>
        <w:r w:rsidR="00D31955">
          <w:rPr>
            <w:webHidden/>
          </w:rPr>
        </w:r>
        <w:r w:rsidR="00D31955">
          <w:rPr>
            <w:webHidden/>
          </w:rPr>
          <w:fldChar w:fldCharType="separate"/>
        </w:r>
        <w:r w:rsidR="00D31955">
          <w:rPr>
            <w:webHidden/>
          </w:rPr>
          <w:t>9</w:t>
        </w:r>
        <w:r w:rsidR="00D31955">
          <w:rPr>
            <w:webHidden/>
          </w:rPr>
          <w:fldChar w:fldCharType="end"/>
        </w:r>
      </w:hyperlink>
    </w:p>
    <w:p w14:paraId="73F3235A" w14:textId="77777777" w:rsidR="00D31955" w:rsidRDefault="00000000">
      <w:pPr>
        <w:pStyle w:val="TOC1"/>
        <w:rPr>
          <w:rFonts w:asciiTheme="minorHAnsi" w:eastAsiaTheme="minorEastAsia" w:hAnsiTheme="minorHAnsi" w:cstheme="minorBidi"/>
          <w:caps w:val="0"/>
          <w:lang w:eastAsia="en-GB"/>
        </w:rPr>
      </w:pPr>
      <w:hyperlink w:anchor="_Toc171669173" w:history="1">
        <w:r w:rsidR="00D31955" w:rsidRPr="00442879">
          <w:rPr>
            <w:rStyle w:val="Hyperlink"/>
          </w:rPr>
          <w:t>8.</w:t>
        </w:r>
        <w:r w:rsidR="00D31955">
          <w:rPr>
            <w:rFonts w:asciiTheme="minorHAnsi" w:eastAsiaTheme="minorEastAsia" w:hAnsiTheme="minorHAnsi" w:cstheme="minorBidi"/>
            <w:caps w:val="0"/>
            <w:lang w:eastAsia="en-GB"/>
          </w:rPr>
          <w:tab/>
        </w:r>
        <w:r w:rsidR="00D31955" w:rsidRPr="00442879">
          <w:rPr>
            <w:rStyle w:val="Hyperlink"/>
          </w:rPr>
          <w:t>Glossary</w:t>
        </w:r>
        <w:r w:rsidR="00D31955">
          <w:rPr>
            <w:webHidden/>
          </w:rPr>
          <w:tab/>
        </w:r>
        <w:r w:rsidR="00D31955">
          <w:rPr>
            <w:webHidden/>
          </w:rPr>
          <w:fldChar w:fldCharType="begin"/>
        </w:r>
        <w:r w:rsidR="00D31955">
          <w:rPr>
            <w:webHidden/>
          </w:rPr>
          <w:instrText xml:space="preserve"> PAGEREF _Toc171669173 \h </w:instrText>
        </w:r>
        <w:r w:rsidR="00D31955">
          <w:rPr>
            <w:webHidden/>
          </w:rPr>
        </w:r>
        <w:r w:rsidR="00D31955">
          <w:rPr>
            <w:webHidden/>
          </w:rPr>
          <w:fldChar w:fldCharType="separate"/>
        </w:r>
        <w:r w:rsidR="00D31955">
          <w:rPr>
            <w:webHidden/>
          </w:rPr>
          <w:t>10</w:t>
        </w:r>
        <w:r w:rsidR="00D31955">
          <w:rPr>
            <w:webHidden/>
          </w:rPr>
          <w:fldChar w:fldCharType="end"/>
        </w:r>
      </w:hyperlink>
    </w:p>
    <w:p w14:paraId="51A03865" w14:textId="77777777" w:rsidR="00D31955" w:rsidRDefault="00000000">
      <w:pPr>
        <w:pStyle w:val="TOC1"/>
        <w:rPr>
          <w:rFonts w:asciiTheme="minorHAnsi" w:eastAsiaTheme="minorEastAsia" w:hAnsiTheme="minorHAnsi" w:cstheme="minorBidi"/>
          <w:caps w:val="0"/>
          <w:lang w:eastAsia="en-GB"/>
        </w:rPr>
      </w:pPr>
      <w:hyperlink w:anchor="_Toc171669174" w:history="1">
        <w:r w:rsidR="00D31955" w:rsidRPr="00442879">
          <w:rPr>
            <w:rStyle w:val="Hyperlink"/>
          </w:rPr>
          <w:t>9.</w:t>
        </w:r>
        <w:r w:rsidR="00D31955">
          <w:rPr>
            <w:rFonts w:asciiTheme="minorHAnsi" w:eastAsiaTheme="minorEastAsia" w:hAnsiTheme="minorHAnsi" w:cstheme="minorBidi"/>
            <w:caps w:val="0"/>
            <w:lang w:eastAsia="en-GB"/>
          </w:rPr>
          <w:tab/>
        </w:r>
        <w:r w:rsidR="00D31955" w:rsidRPr="00442879">
          <w:rPr>
            <w:rStyle w:val="Hyperlink"/>
          </w:rPr>
          <w:t>references</w:t>
        </w:r>
        <w:r w:rsidR="00D31955">
          <w:rPr>
            <w:webHidden/>
          </w:rPr>
          <w:tab/>
        </w:r>
        <w:r w:rsidR="00D31955">
          <w:rPr>
            <w:webHidden/>
          </w:rPr>
          <w:fldChar w:fldCharType="begin"/>
        </w:r>
        <w:r w:rsidR="00D31955">
          <w:rPr>
            <w:webHidden/>
          </w:rPr>
          <w:instrText xml:space="preserve"> PAGEREF _Toc171669174 \h </w:instrText>
        </w:r>
        <w:r w:rsidR="00D31955">
          <w:rPr>
            <w:webHidden/>
          </w:rPr>
        </w:r>
        <w:r w:rsidR="00D31955">
          <w:rPr>
            <w:webHidden/>
          </w:rPr>
          <w:fldChar w:fldCharType="separate"/>
        </w:r>
        <w:r w:rsidR="00D31955">
          <w:rPr>
            <w:webHidden/>
          </w:rPr>
          <w:t>10</w:t>
        </w:r>
        <w:r w:rsidR="00D31955">
          <w:rPr>
            <w:webHidden/>
          </w:rPr>
          <w:fldChar w:fldCharType="end"/>
        </w:r>
      </w:hyperlink>
    </w:p>
    <w:p w14:paraId="0AA053EF" w14:textId="77777777" w:rsidR="00923A51" w:rsidRPr="005457E2" w:rsidRDefault="00197B0F" w:rsidP="00E84932">
      <w:pPr>
        <w:pStyle w:val="ESSTOC"/>
      </w:pPr>
      <w:r w:rsidRPr="00E84932">
        <w:fldChar w:fldCharType="end"/>
      </w:r>
    </w:p>
    <w:p w14:paraId="43C0B81D" w14:textId="77777777" w:rsidR="00835F28" w:rsidRDefault="00835F28">
      <w:pPr>
        <w:spacing w:after="0"/>
      </w:pPr>
      <w:r>
        <w:br w:type="page"/>
      </w:r>
    </w:p>
    <w:p w14:paraId="53640487" w14:textId="77777777" w:rsidR="004A31D9" w:rsidRDefault="00353311" w:rsidP="008812EE">
      <w:pPr>
        <w:pStyle w:val="Heading1"/>
      </w:pPr>
      <w:bookmarkStart w:id="0" w:name="_Toc171669159"/>
      <w:r>
        <w:lastRenderedPageBreak/>
        <w:t>AIM</w:t>
      </w:r>
      <w:bookmarkEnd w:id="0"/>
    </w:p>
    <w:p w14:paraId="3F0EA0A2" w14:textId="77777777" w:rsidR="004A31D9" w:rsidRDefault="008175D5" w:rsidP="004A31D9">
      <w:r>
        <w:t xml:space="preserve">This document </w:t>
      </w:r>
      <w:r w:rsidR="0063007D">
        <w:t>describes and provides a cost benefit analysis of the added scope required to complete the VESPA spectrometer and ensure that the instrument is state-of-the-art.</w:t>
      </w:r>
    </w:p>
    <w:p w14:paraId="2F354EC7" w14:textId="77777777" w:rsidR="00211CDC" w:rsidRDefault="005B3118" w:rsidP="008812EE">
      <w:pPr>
        <w:pStyle w:val="Heading1"/>
      </w:pPr>
      <w:bookmarkStart w:id="1" w:name="_Toc171669160"/>
      <w:r>
        <w:t>Introduction</w:t>
      </w:r>
      <w:bookmarkEnd w:id="1"/>
    </w:p>
    <w:p w14:paraId="2B1BFFA9" w14:textId="77777777" w:rsidR="00FB17CB" w:rsidRDefault="005B3118" w:rsidP="005B3118">
      <w:pPr>
        <w:jc w:val="both"/>
      </w:pPr>
      <w:r>
        <w:t xml:space="preserve">VESPA is the neutron vibrational spectrometer of the ESS. The instrument capabilities are broad band neutron spectroscopy using 14 </w:t>
      </w:r>
      <w:r w:rsidR="00F869A7">
        <w:t>spectroscopy</w:t>
      </w:r>
      <w:r>
        <w:t xml:space="preserve"> modules, </w:t>
      </w:r>
      <w:r w:rsidR="001323B7">
        <w:t xml:space="preserve">and medium resolution neutron powder diffraction and pair distribution function </w:t>
      </w:r>
      <w:r w:rsidR="005B7898">
        <w:t>using</w:t>
      </w:r>
      <w:r w:rsidR="001323B7">
        <w:t xml:space="preserve"> one backscattering and 6 lateral diffraction banks. VESPA </w:t>
      </w:r>
      <w:r w:rsidR="00FB17CB">
        <w:t xml:space="preserve">end-station </w:t>
      </w:r>
      <w:r w:rsidR="001323B7">
        <w:t xml:space="preserve">also </w:t>
      </w:r>
      <w:r w:rsidR="00FB17CB">
        <w:t>includes</w:t>
      </w:r>
      <w:r w:rsidR="001323B7">
        <w:t xml:space="preserve"> a transmission monitor, mainly used to normalise the spectra to absolute units</w:t>
      </w:r>
      <w:r w:rsidR="00721815">
        <w:t>.</w:t>
      </w:r>
      <w:r w:rsidR="001323B7">
        <w:t xml:space="preserve"> </w:t>
      </w:r>
      <w:r w:rsidR="00FB17CB">
        <w:t>VESPA beam transport and conditioning system (BTCS) is constituted of a high-</w:t>
      </w:r>
      <w:r w:rsidR="00FB17CB" w:rsidRPr="00721815">
        <w:rPr>
          <w:i/>
        </w:rPr>
        <w:t>m</w:t>
      </w:r>
      <w:r w:rsidR="00FB17CB">
        <w:t xml:space="preserve"> supermirror with elliptic profile, 3 pairs of high-speed pulse-shaping choppers (PSC), 1 frame overlap chopper (FOC)</w:t>
      </w:r>
      <w:r w:rsidR="00F73526">
        <w:t xml:space="preserve"> disk</w:t>
      </w:r>
      <w:r w:rsidR="00FB17CB">
        <w:t>, 3 subframe overlap chopper (sFOC)</w:t>
      </w:r>
      <w:r w:rsidR="00F73526">
        <w:t xml:space="preserve"> disks</w:t>
      </w:r>
      <w:r w:rsidR="00FB17CB">
        <w:t>, a T0 chopper</w:t>
      </w:r>
      <w:r w:rsidR="00C9446A">
        <w:t xml:space="preserve">, and </w:t>
      </w:r>
      <w:r w:rsidR="00721815">
        <w:t xml:space="preserve">a single slit package to control the size of the beam spot from (width </w:t>
      </w:r>
      <w:r w:rsidR="00721815">
        <w:sym w:font="Symbol" w:char="F0B4"/>
      </w:r>
      <w:r w:rsidR="00721815">
        <w:t xml:space="preserve"> height) 3 </w:t>
      </w:r>
      <w:r w:rsidR="00721815">
        <w:sym w:font="Symbol" w:char="F0B4"/>
      </w:r>
      <w:r w:rsidR="00721815">
        <w:t xml:space="preserve"> 4 cm</w:t>
      </w:r>
      <w:r w:rsidR="00721815" w:rsidRPr="001323B7">
        <w:rPr>
          <w:vertAlign w:val="superscript"/>
        </w:rPr>
        <w:t>2</w:t>
      </w:r>
      <w:r w:rsidR="00721815">
        <w:t xml:space="preserve"> down to 1.6 </w:t>
      </w:r>
      <w:r w:rsidR="00721815">
        <w:sym w:font="Symbol" w:char="F0B4"/>
      </w:r>
      <w:r w:rsidR="00721815">
        <w:t xml:space="preserve"> 1.0 cm</w:t>
      </w:r>
      <w:r w:rsidR="00721815" w:rsidRPr="001323B7">
        <w:rPr>
          <w:vertAlign w:val="superscript"/>
        </w:rPr>
        <w:t>2</w:t>
      </w:r>
      <w:r w:rsidR="00721815">
        <w:t>.</w:t>
      </w:r>
    </w:p>
    <w:p w14:paraId="6C2BC84A" w14:textId="77777777" w:rsidR="00721815" w:rsidRDefault="008718A9" w:rsidP="005B3118">
      <w:pPr>
        <w:jc w:val="both"/>
      </w:pPr>
      <w:r>
        <w:t xml:space="preserve">The added scope to complete VESPA, with respect to </w:t>
      </w:r>
      <w:r w:rsidR="00721815">
        <w:t>its</w:t>
      </w:r>
      <w:r>
        <w:t xml:space="preserve"> day 1 scope, </w:t>
      </w:r>
      <w:r w:rsidRPr="00AE4D2E">
        <w:t xml:space="preserve">can be </w:t>
      </w:r>
      <w:r>
        <w:t>classified</w:t>
      </w:r>
      <w:r w:rsidRPr="00AE4D2E">
        <w:t xml:space="preserve"> in three independent </w:t>
      </w:r>
      <w:r>
        <w:t>categories</w:t>
      </w:r>
      <w:r w:rsidRPr="00AE4D2E">
        <w:t xml:space="preserve">. These are, by order of priority in terms of scientific impact: (1) adding the T0 chopper, (2) </w:t>
      </w:r>
      <w:r w:rsidR="00721815">
        <w:t>completing the spectroscopy bank</w:t>
      </w:r>
      <w:r w:rsidRPr="00AE4D2E">
        <w:t>, and (3) completing the diffraction banks.</w:t>
      </w:r>
      <w:r w:rsidR="00721815">
        <w:t xml:space="preserve"> Indeed, the day 1 scope of VESPA does not include the T0 chopper, and only includes 4 of the 14 analyser modules, and 2 of the 6 lateral diffraction panels.</w:t>
      </w:r>
    </w:p>
    <w:p w14:paraId="66AFAD2D" w14:textId="77777777" w:rsidR="00C17C98" w:rsidRDefault="00C17C98" w:rsidP="00C17C98">
      <w:pPr>
        <w:jc w:val="both"/>
      </w:pPr>
      <w:r>
        <w:t xml:space="preserve">Beyond the performance of VESPA in terms of flux, signal-to-noise ratio (SNR), and energy resolution, the scientific impact on the instrument is closely linked to the capability and capacity of its sample environments, and to the instrument ability to perform high throughput measurements using a sample changer, which is also not included in the day 1 scope. </w:t>
      </w:r>
    </w:p>
    <w:p w14:paraId="7C937F92" w14:textId="77777777" w:rsidR="00810563" w:rsidRDefault="00810563" w:rsidP="00810563">
      <w:pPr>
        <w:pStyle w:val="Heading1"/>
      </w:pPr>
      <w:bookmarkStart w:id="2" w:name="_Toc171669161"/>
      <w:r>
        <w:t>Figure of merits</w:t>
      </w:r>
      <w:bookmarkEnd w:id="2"/>
    </w:p>
    <w:p w14:paraId="4191F747" w14:textId="77777777" w:rsidR="00FE3AE3" w:rsidRDefault="00FE3AE3" w:rsidP="00FE3AE3">
      <w:pPr>
        <w:pStyle w:val="Heading2"/>
      </w:pPr>
      <w:bookmarkStart w:id="3" w:name="_Toc171669162"/>
      <w:r>
        <w:t>Detected intensity</w:t>
      </w:r>
      <w:bookmarkEnd w:id="3"/>
    </w:p>
    <w:p w14:paraId="17C84692" w14:textId="77777777" w:rsidR="00F73526" w:rsidRDefault="00721815" w:rsidP="00F73526">
      <w:pPr>
        <w:jc w:val="both"/>
      </w:pPr>
      <w:r>
        <w:t>Metrics</w:t>
      </w:r>
      <w:r w:rsidR="00FB17CB">
        <w:t xml:space="preserve"> to evaluate </w:t>
      </w:r>
      <w:r w:rsidR="00810563">
        <w:t>VESPA</w:t>
      </w:r>
      <w:r w:rsidR="00FB17CB">
        <w:t xml:space="preserve"> performance with respect to other instruments of its class are</w:t>
      </w:r>
      <w:r w:rsidR="00F73526">
        <w:t xml:space="preserve"> (1) t</w:t>
      </w:r>
      <w:r w:rsidR="00FB17CB">
        <w:t xml:space="preserve">he peak flux at sample position in the </w:t>
      </w:r>
      <w:r w:rsidR="00F73526">
        <w:t xml:space="preserve">so-called </w:t>
      </w:r>
      <w:r w:rsidR="00FB17CB">
        <w:t xml:space="preserve">“fingerprint region” of the spectral, </w:t>
      </w:r>
      <w:r w:rsidR="00FB17CB">
        <w:sym w:font="Symbol" w:char="F044"/>
      </w:r>
      <w:r w:rsidR="00FB17CB">
        <w:t xml:space="preserve">E = 60 – 220 meV, and at low energy, </w:t>
      </w:r>
      <w:r w:rsidR="00FB17CB">
        <w:sym w:font="Symbol" w:char="F044"/>
      </w:r>
      <w:r w:rsidR="00FB17CB">
        <w:t>E = 0 – 85 meV</w:t>
      </w:r>
      <w:r w:rsidR="00F73526">
        <w:t xml:space="preserve">; (2) the SNR; and (3) the energy resolution in the fingerprint region. As most experiments are flux limited, a suitable figure of merit (FOM) is to simply consider </w:t>
      </w:r>
      <w:r w:rsidR="00031968">
        <w:t xml:space="preserve">a quantity proportional to </w:t>
      </w:r>
      <w:r w:rsidR="00F73526">
        <w:t>the detected intensity:</w:t>
      </w:r>
    </w:p>
    <w:p w14:paraId="79481877" w14:textId="77777777" w:rsidR="00F73526" w:rsidRPr="00452E01" w:rsidRDefault="00031968" w:rsidP="00F73526">
      <w:pPr>
        <w:jc w:val="both"/>
      </w:pPr>
      <m:oMathPara>
        <m:oMath>
          <m:r>
            <m:rPr>
              <m:sty m:val="p"/>
            </m:rPr>
            <w:rPr>
              <w:rFonts w:ascii="Cambria Math" w:hAnsi="Cambria Math"/>
            </w:rPr>
            <m:t>FOM[DI]</m:t>
          </m:r>
          <m:r>
            <w:rPr>
              <w:rFonts w:ascii="Cambria Math" w:hAnsi="Cambria Math"/>
            </w:rPr>
            <m:t xml:space="preserve">= </m:t>
          </m:r>
          <m:r>
            <m:rPr>
              <m:sty m:val="p"/>
            </m:rPr>
            <w:rPr>
              <w:rFonts w:ascii="Cambria Math" w:hAnsi="Cambria Math"/>
            </w:rPr>
            <w:sym w:font="Symbol" w:char="F046"/>
          </m:r>
          <m:r>
            <w:rPr>
              <w:rFonts w:ascii="Cambria Math" w:hAnsi="Cambria Math"/>
            </w:rPr>
            <m:t>∙</m:t>
          </m:r>
          <m:f>
            <m:fPr>
              <m:ctrlPr>
                <w:rPr>
                  <w:rFonts w:ascii="Cambria Math" w:hAnsi="Cambria Math"/>
                  <w:i/>
                </w:rPr>
              </m:ctrlPr>
            </m:fPr>
            <m:num>
              <m:r>
                <m:rPr>
                  <m:sty m:val="p"/>
                </m:rPr>
                <w:rPr>
                  <w:rFonts w:ascii="Cambria Math" w:hAnsi="Cambria Math"/>
                </w:rPr>
                <w:sym w:font="Symbol" w:char="F057"/>
              </m:r>
            </m:num>
            <m:den>
              <m:r>
                <w:rPr>
                  <w:rFonts w:ascii="Cambria Math" w:hAnsi="Cambria Math"/>
                </w:rPr>
                <m:t>4π</m:t>
              </m:r>
            </m:den>
          </m:f>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Be</m:t>
              </m:r>
            </m:sub>
          </m:sSub>
          <m:r>
            <w:rPr>
              <w:rFonts w:ascii="Cambria Math" w:hAnsi="Cambria Math"/>
            </w:rPr>
            <m:t>∙</m:t>
          </m:r>
          <m:r>
            <m:rPr>
              <m:sty m:val="p"/>
            </m:rPr>
            <w:rPr>
              <w:rFonts w:ascii="Cambria Math" w:hAnsi="Cambria Math"/>
            </w:rPr>
            <w:sym w:font="Symbol" w:char="F068"/>
          </m:r>
          <m:r>
            <w:rPr>
              <w:rFonts w:ascii="Cambria Math" w:hAnsi="Cambria Math"/>
            </w:rPr>
            <m:t>∙</m:t>
          </m:r>
          <m:r>
            <m:rPr>
              <m:sty m:val="p"/>
            </m:rPr>
            <w:rPr>
              <w:rFonts w:ascii="Cambria Math" w:hAnsi="Cambria Math"/>
            </w:rPr>
            <w:sym w:font="Symbol" w:char="F044"/>
          </m:r>
          <m:r>
            <m:rPr>
              <m:sty m:val="p"/>
            </m:rPr>
            <w:rPr>
              <w:rFonts w:ascii="Cambria Math" w:hAnsi="Cambria Math"/>
            </w:rPr>
            <w:sym w:font="Symbol" w:char="F071"/>
          </m:r>
          <m:r>
            <m:rPr>
              <m:sty m:val="p"/>
            </m:rPr>
            <w:rPr>
              <w:rFonts w:ascii="Cambria Math" w:hAnsi="Cambria Math"/>
            </w:rPr>
            <m:t>∙</m:t>
          </m:r>
          <m:r>
            <w:rPr>
              <w:rFonts w:ascii="Cambria Math" w:hAnsi="Cambria Math"/>
            </w:rPr>
            <m:t>R</m:t>
          </m:r>
        </m:oMath>
      </m:oMathPara>
    </w:p>
    <w:p w14:paraId="5DDF8DBB" w14:textId="77777777" w:rsidR="00452E01" w:rsidRDefault="00452E01" w:rsidP="00F73526">
      <w:pPr>
        <w:jc w:val="both"/>
      </w:pPr>
      <w:r>
        <w:t xml:space="preserve">where </w:t>
      </w:r>
      <m:oMath>
        <m:r>
          <m:rPr>
            <m:sty m:val="p"/>
          </m:rPr>
          <w:rPr>
            <w:rFonts w:ascii="Cambria Math" w:hAnsi="Cambria Math"/>
          </w:rPr>
          <w:sym w:font="Symbol" w:char="F046"/>
        </m:r>
      </m:oMath>
      <w:r>
        <w:t xml:space="preserve"> is the peak flux (brightness) </w:t>
      </w:r>
      <w:r w:rsidR="00FA6F2C">
        <w:t>o</w:t>
      </w:r>
      <w:r>
        <w:t xml:space="preserve">n a 1 </w:t>
      </w:r>
      <w:r>
        <w:sym w:font="Symbol" w:char="F0B4"/>
      </w:r>
      <w:r>
        <w:t xml:space="preserve"> 1 cm</w:t>
      </w:r>
      <w:r w:rsidRPr="00452E01">
        <w:rPr>
          <w:vertAlign w:val="superscript"/>
        </w:rPr>
        <w:t>2</w:t>
      </w:r>
      <w:r>
        <w:t xml:space="preserve"> </w:t>
      </w:r>
      <w:r w:rsidR="00031968">
        <w:t>area in n/s/cm</w:t>
      </w:r>
      <w:r w:rsidR="00031968" w:rsidRPr="00031968">
        <w:rPr>
          <w:vertAlign w:val="superscript"/>
        </w:rPr>
        <w:t>2</w:t>
      </w:r>
      <w:r>
        <w:t xml:space="preserve">, </w:t>
      </w:r>
      <w:r w:rsidR="00031968">
        <w:t xml:space="preserve">integrated in energy over the fingerprint or low-energy regions, </w:t>
      </w:r>
      <w:r w:rsidR="00031968">
        <w:sym w:font="Symbol" w:char="F057"/>
      </w:r>
      <w:r w:rsidR="00031968">
        <w:t xml:space="preserve"> is the solid angle coverage of the analysers in sr, </w:t>
      </w:r>
      <w:r w:rsidR="00031968" w:rsidRPr="00031968">
        <w:rPr>
          <w:i/>
        </w:rPr>
        <w:t>T</w:t>
      </w:r>
      <w:r w:rsidR="00031968" w:rsidRPr="00031968">
        <w:rPr>
          <w:vertAlign w:val="subscript"/>
        </w:rPr>
        <w:t>Be</w:t>
      </w:r>
      <w:r w:rsidR="00031968">
        <w:t xml:space="preserve"> is the transmission of the beryllium filter in %, </w:t>
      </w:r>
      <w:r w:rsidR="00031968">
        <w:sym w:font="Symbol" w:char="F068"/>
      </w:r>
      <w:r w:rsidR="00031968">
        <w:t xml:space="preserve"> is the detection efficiency of the detectors in %, </w:t>
      </w:r>
      <w:r w:rsidR="00031968">
        <w:sym w:font="Symbol" w:char="F044"/>
      </w:r>
      <w:r w:rsidR="00031968">
        <w:sym w:font="Symbol" w:char="F071"/>
      </w:r>
      <w:r w:rsidR="00031968">
        <w:t xml:space="preserve"> is the mosaic spread of the analyser crystals in degrees, and </w:t>
      </w:r>
      <w:r w:rsidR="00031968" w:rsidRPr="00031968">
        <w:rPr>
          <w:i/>
        </w:rPr>
        <w:t>R</w:t>
      </w:r>
      <w:r w:rsidR="00031968">
        <w:t xml:space="preserve"> is the peak reflectivity of the analyser crystals in %.</w:t>
      </w:r>
    </w:p>
    <w:p w14:paraId="644D2C8D" w14:textId="77777777" w:rsidR="00FE3AE3" w:rsidRDefault="00FE3AE3" w:rsidP="00F73526">
      <w:pPr>
        <w:jc w:val="both"/>
      </w:pPr>
      <w:r>
        <w:t>The parameters of FOM[DI] for VESPA are reported in</w:t>
      </w:r>
      <w:r w:rsidR="00497AC2">
        <w:t xml:space="preserve"> </w:t>
      </w:r>
      <w:r w:rsidR="00497AC2">
        <w:fldChar w:fldCharType="begin"/>
      </w:r>
      <w:r w:rsidR="00497AC2">
        <w:instrText xml:space="preserve"> REF _Ref170983405 \h </w:instrText>
      </w:r>
      <w:r w:rsidR="00497AC2">
        <w:fldChar w:fldCharType="separate"/>
      </w:r>
      <w:r w:rsidR="00497AC2">
        <w:t xml:space="preserve">Table </w:t>
      </w:r>
      <w:r w:rsidR="00497AC2">
        <w:rPr>
          <w:noProof/>
        </w:rPr>
        <w:t>1</w:t>
      </w:r>
      <w:r w:rsidR="00497AC2">
        <w:fldChar w:fldCharType="end"/>
      </w:r>
      <w:r>
        <w:t>. The estimated parameters for TOSCA and its future upgrade, TOSCA+, at the ISIS Neutron and Muon Source, and for VISION</w:t>
      </w:r>
      <w:r w:rsidR="00131035">
        <w:t xml:space="preserve"> at SNS</w:t>
      </w:r>
      <w:r>
        <w:t>, before and after the source upgrade, are also reported in</w:t>
      </w:r>
      <w:r w:rsidR="00497AC2">
        <w:t xml:space="preserve"> </w:t>
      </w:r>
      <w:r w:rsidR="00497AC2">
        <w:fldChar w:fldCharType="begin"/>
      </w:r>
      <w:r w:rsidR="00497AC2">
        <w:instrText xml:space="preserve"> REF _Ref170983405 \h </w:instrText>
      </w:r>
      <w:r w:rsidR="00497AC2">
        <w:fldChar w:fldCharType="separate"/>
      </w:r>
      <w:r w:rsidR="00497AC2">
        <w:t xml:space="preserve">Table </w:t>
      </w:r>
      <w:r w:rsidR="00497AC2">
        <w:rPr>
          <w:noProof/>
        </w:rPr>
        <w:t>1</w:t>
      </w:r>
      <w:r w:rsidR="00497AC2">
        <w:fldChar w:fldCharType="end"/>
      </w:r>
      <w:r>
        <w:t>.</w:t>
      </w:r>
    </w:p>
    <w:p w14:paraId="7FB31375" w14:textId="77777777" w:rsidR="0085038F" w:rsidRDefault="0085038F" w:rsidP="00F73526">
      <w:pPr>
        <w:jc w:val="both"/>
      </w:pPr>
    </w:p>
    <w:p w14:paraId="13FE6179" w14:textId="77777777" w:rsidR="0085038F" w:rsidRDefault="0085038F" w:rsidP="00F73526">
      <w:pPr>
        <w:jc w:val="both"/>
      </w:pPr>
    </w:p>
    <w:p w14:paraId="20EE1D13" w14:textId="77777777" w:rsidR="0085038F" w:rsidRDefault="0085038F" w:rsidP="0085038F">
      <w:pPr>
        <w:pStyle w:val="Caption"/>
        <w:keepNext/>
      </w:pPr>
      <w:bookmarkStart w:id="4" w:name="_Ref170983405"/>
      <w:r>
        <w:lastRenderedPageBreak/>
        <w:t xml:space="preserve">Table </w:t>
      </w:r>
      <w:r>
        <w:fldChar w:fldCharType="begin"/>
      </w:r>
      <w:r>
        <w:instrText xml:space="preserve"> SEQ Table \* ARABIC </w:instrText>
      </w:r>
      <w:r>
        <w:fldChar w:fldCharType="separate"/>
      </w:r>
      <w:r>
        <w:rPr>
          <w:noProof/>
        </w:rPr>
        <w:t>1</w:t>
      </w:r>
      <w:r>
        <w:fldChar w:fldCharType="end"/>
      </w:r>
      <w:bookmarkEnd w:id="4"/>
      <w:r>
        <w:t xml:space="preserve"> – Instrument parameters used in the calculation of FOM[DI]</w:t>
      </w:r>
      <w:r w:rsidR="001B0377">
        <w:t xml:space="preserve">. </w:t>
      </w:r>
      <w:r w:rsidR="00981BD2">
        <w:t xml:space="preserve">All fluxes are simulated. </w:t>
      </w:r>
      <w:r w:rsidR="001B0377">
        <w:t xml:space="preserve">The fluxes of VESPA are updated to reflect the latest design of the chopper system </w:t>
      </w:r>
      <w:r w:rsidR="001B0377" w:rsidRPr="001B0377">
        <w:rPr>
          <w:highlight w:val="green"/>
        </w:rPr>
        <w:t>[</w:t>
      </w:r>
      <w:r w:rsidR="0063007D">
        <w:rPr>
          <w:highlight w:val="green"/>
        </w:rPr>
        <w:t>1</w:t>
      </w:r>
      <w:r w:rsidR="001B0377" w:rsidRPr="001B0377">
        <w:rPr>
          <w:highlight w:val="green"/>
        </w:rPr>
        <w:t>]</w:t>
      </w:r>
      <w:r w:rsidR="001B0377">
        <w:t xml:space="preserve">. </w:t>
      </w:r>
      <w:r w:rsidR="00497AC2">
        <w:t xml:space="preserve">The parameters for TOSCA and TOSCA+ are obtained </w:t>
      </w:r>
      <w:r w:rsidR="00981BD2">
        <w:t>from</w:t>
      </w:r>
      <w:r w:rsidR="00497AC2">
        <w:t xml:space="preserve"> reference</w:t>
      </w:r>
      <w:r w:rsidR="00981BD2">
        <w:t>s</w:t>
      </w:r>
      <w:r w:rsidR="00497AC2">
        <w:t xml:space="preserve"> </w:t>
      </w:r>
      <w:r w:rsidR="00497AC2" w:rsidRPr="00497AC2">
        <w:rPr>
          <w:highlight w:val="green"/>
        </w:rPr>
        <w:t>[</w:t>
      </w:r>
      <w:r w:rsidR="0063007D">
        <w:rPr>
          <w:highlight w:val="green"/>
        </w:rPr>
        <w:t>2</w:t>
      </w:r>
      <w:r w:rsidR="00497AC2" w:rsidRPr="00497AC2">
        <w:rPr>
          <w:highlight w:val="green"/>
        </w:rPr>
        <w:t>]</w:t>
      </w:r>
      <w:r w:rsidR="00497AC2">
        <w:t xml:space="preserve"> and </w:t>
      </w:r>
      <w:r w:rsidR="00497AC2" w:rsidRPr="00497AC2">
        <w:rPr>
          <w:highlight w:val="green"/>
        </w:rPr>
        <w:t>[</w:t>
      </w:r>
      <w:r w:rsidR="0063007D">
        <w:rPr>
          <w:highlight w:val="green"/>
        </w:rPr>
        <w:t>3</w:t>
      </w:r>
      <w:r w:rsidR="00497AC2" w:rsidRPr="00497AC2">
        <w:rPr>
          <w:highlight w:val="green"/>
        </w:rPr>
        <w:t>]</w:t>
      </w:r>
      <w:r w:rsidR="00497AC2">
        <w:t>. The parameters for VISION are estimate</w:t>
      </w:r>
      <w:r w:rsidR="00B113C9">
        <w:t>s</w:t>
      </w:r>
      <w:r w:rsidR="00497AC2">
        <w:t xml:space="preserve"> </w:t>
      </w:r>
      <w:r w:rsidR="00981BD2">
        <w:t>based on</w:t>
      </w:r>
      <w:r w:rsidR="00497AC2">
        <w:t xml:space="preserve"> private discussion with the VISION team </w:t>
      </w:r>
      <w:r w:rsidR="00497AC2" w:rsidRPr="00497AC2">
        <w:rPr>
          <w:highlight w:val="green"/>
        </w:rPr>
        <w:t>[</w:t>
      </w:r>
      <w:r w:rsidR="0063007D">
        <w:rPr>
          <w:highlight w:val="green"/>
        </w:rPr>
        <w:t>4</w:t>
      </w:r>
      <w:r w:rsidR="00497AC2" w:rsidRPr="00497AC2">
        <w:rPr>
          <w:highlight w:val="green"/>
        </w:rPr>
        <w:t>]</w:t>
      </w:r>
    </w:p>
    <w:tbl>
      <w:tblPr>
        <w:tblStyle w:val="TableGrid"/>
        <w:tblW w:w="5000" w:type="pct"/>
        <w:jc w:val="center"/>
        <w:tblLook w:val="04A0" w:firstRow="1" w:lastRow="0" w:firstColumn="1" w:lastColumn="0" w:noHBand="0" w:noVBand="1"/>
      </w:tblPr>
      <w:tblGrid>
        <w:gridCol w:w="2512"/>
        <w:gridCol w:w="2014"/>
        <w:gridCol w:w="2103"/>
        <w:gridCol w:w="639"/>
        <w:gridCol w:w="612"/>
        <w:gridCol w:w="578"/>
        <w:gridCol w:w="593"/>
        <w:gridCol w:w="578"/>
      </w:tblGrid>
      <w:tr w:rsidR="0085038F" w14:paraId="563FA862" w14:textId="77777777" w:rsidTr="0031657B">
        <w:trPr>
          <w:jc w:val="center"/>
        </w:trPr>
        <w:tc>
          <w:tcPr>
            <w:tcW w:w="1304" w:type="pct"/>
            <w:vMerge w:val="restart"/>
            <w:vAlign w:val="center"/>
          </w:tcPr>
          <w:p w14:paraId="69DE2BA1" w14:textId="77777777" w:rsidR="0085038F" w:rsidRPr="0085038F" w:rsidRDefault="0085038F" w:rsidP="0085038F">
            <w:pPr>
              <w:jc w:val="center"/>
              <w:rPr>
                <w:b/>
              </w:rPr>
            </w:pPr>
            <w:r w:rsidRPr="0085038F">
              <w:rPr>
                <w:b/>
              </w:rPr>
              <w:t>Instrument</w:t>
            </w:r>
          </w:p>
        </w:tc>
        <w:tc>
          <w:tcPr>
            <w:tcW w:w="1046" w:type="pct"/>
            <w:vAlign w:val="center"/>
          </w:tcPr>
          <w:p w14:paraId="0B3CB581" w14:textId="77777777" w:rsidR="0085038F" w:rsidRPr="0085038F" w:rsidRDefault="0085038F" w:rsidP="0085038F">
            <w:pPr>
              <w:jc w:val="center"/>
              <w:rPr>
                <w:b/>
              </w:rPr>
            </w:pPr>
            <w:r w:rsidRPr="0085038F">
              <w:rPr>
                <w:b/>
              </w:rPr>
              <w:sym w:font="Symbol" w:char="F046"/>
            </w:r>
            <w:r w:rsidRPr="0085038F">
              <w:rPr>
                <w:b/>
              </w:rPr>
              <w:t xml:space="preserve"> [</w:t>
            </w:r>
            <w:r w:rsidR="00FD40DA">
              <w:rPr>
                <w:b/>
              </w:rPr>
              <w:t>fingerprint</w:t>
            </w:r>
            <w:r w:rsidRPr="0085038F">
              <w:rPr>
                <w:b/>
              </w:rPr>
              <w:t>]</w:t>
            </w:r>
          </w:p>
        </w:tc>
        <w:tc>
          <w:tcPr>
            <w:tcW w:w="1092" w:type="pct"/>
            <w:vAlign w:val="center"/>
          </w:tcPr>
          <w:p w14:paraId="330BCC90" w14:textId="77777777" w:rsidR="0085038F" w:rsidRPr="0085038F" w:rsidRDefault="0085038F" w:rsidP="0085038F">
            <w:pPr>
              <w:jc w:val="center"/>
              <w:rPr>
                <w:b/>
              </w:rPr>
            </w:pPr>
            <w:r w:rsidRPr="0085038F">
              <w:rPr>
                <w:b/>
              </w:rPr>
              <w:sym w:font="Symbol" w:char="F046"/>
            </w:r>
            <w:r w:rsidRPr="0085038F">
              <w:rPr>
                <w:b/>
              </w:rPr>
              <w:t xml:space="preserve"> [low</w:t>
            </w:r>
            <w:r w:rsidR="00FD40DA">
              <w:rPr>
                <w:b/>
              </w:rPr>
              <w:t>-energy</w:t>
            </w:r>
            <w:r w:rsidRPr="0085038F">
              <w:rPr>
                <w:b/>
              </w:rPr>
              <w:t>]</w:t>
            </w:r>
          </w:p>
        </w:tc>
        <w:tc>
          <w:tcPr>
            <w:tcW w:w="332" w:type="pct"/>
            <w:vAlign w:val="center"/>
          </w:tcPr>
          <w:p w14:paraId="66B37AB7" w14:textId="77777777" w:rsidR="0085038F" w:rsidRPr="0085038F" w:rsidRDefault="0085038F" w:rsidP="0085038F">
            <w:pPr>
              <w:jc w:val="center"/>
              <w:rPr>
                <w:b/>
              </w:rPr>
            </w:pPr>
            <w:r w:rsidRPr="0085038F">
              <w:rPr>
                <w:b/>
              </w:rPr>
              <w:sym w:font="Symbol" w:char="F057"/>
            </w:r>
          </w:p>
        </w:tc>
        <w:tc>
          <w:tcPr>
            <w:tcW w:w="318" w:type="pct"/>
            <w:vAlign w:val="center"/>
          </w:tcPr>
          <w:p w14:paraId="0E77A67C" w14:textId="77777777" w:rsidR="0085038F" w:rsidRPr="0085038F" w:rsidRDefault="0085038F" w:rsidP="0085038F">
            <w:pPr>
              <w:jc w:val="center"/>
              <w:rPr>
                <w:b/>
              </w:rPr>
            </w:pPr>
            <w:r w:rsidRPr="0085038F">
              <w:rPr>
                <w:b/>
                <w:i/>
              </w:rPr>
              <w:t>T</w:t>
            </w:r>
            <w:r w:rsidRPr="0085038F">
              <w:rPr>
                <w:b/>
                <w:vertAlign w:val="subscript"/>
              </w:rPr>
              <w:t>Be</w:t>
            </w:r>
          </w:p>
        </w:tc>
        <w:tc>
          <w:tcPr>
            <w:tcW w:w="300" w:type="pct"/>
            <w:vAlign w:val="center"/>
          </w:tcPr>
          <w:p w14:paraId="1F3A9B05" w14:textId="77777777" w:rsidR="0085038F" w:rsidRPr="0085038F" w:rsidRDefault="0085038F" w:rsidP="0085038F">
            <w:pPr>
              <w:jc w:val="center"/>
              <w:rPr>
                <w:b/>
              </w:rPr>
            </w:pPr>
            <w:r w:rsidRPr="0085038F">
              <w:rPr>
                <w:b/>
              </w:rPr>
              <w:sym w:font="Symbol" w:char="F068"/>
            </w:r>
          </w:p>
        </w:tc>
        <w:tc>
          <w:tcPr>
            <w:tcW w:w="308" w:type="pct"/>
            <w:vAlign w:val="center"/>
          </w:tcPr>
          <w:p w14:paraId="2659DC98" w14:textId="77777777" w:rsidR="0085038F" w:rsidRPr="0085038F" w:rsidRDefault="0085038F" w:rsidP="0085038F">
            <w:pPr>
              <w:jc w:val="center"/>
              <w:rPr>
                <w:b/>
              </w:rPr>
            </w:pPr>
            <w:r w:rsidRPr="0085038F">
              <w:rPr>
                <w:b/>
              </w:rPr>
              <w:sym w:font="Symbol" w:char="F044"/>
            </w:r>
            <w:r w:rsidRPr="0085038F">
              <w:rPr>
                <w:b/>
              </w:rPr>
              <w:sym w:font="Symbol" w:char="F071"/>
            </w:r>
          </w:p>
        </w:tc>
        <w:tc>
          <w:tcPr>
            <w:tcW w:w="300" w:type="pct"/>
            <w:vAlign w:val="center"/>
          </w:tcPr>
          <w:p w14:paraId="60707B86" w14:textId="77777777" w:rsidR="0085038F" w:rsidRPr="0085038F" w:rsidRDefault="0085038F" w:rsidP="0085038F">
            <w:pPr>
              <w:jc w:val="center"/>
              <w:rPr>
                <w:b/>
                <w:i/>
              </w:rPr>
            </w:pPr>
            <w:r w:rsidRPr="0085038F">
              <w:rPr>
                <w:b/>
                <w:i/>
              </w:rPr>
              <w:t>R</w:t>
            </w:r>
          </w:p>
        </w:tc>
      </w:tr>
      <w:tr w:rsidR="0085038F" w14:paraId="65AB078D" w14:textId="77777777" w:rsidTr="0031657B">
        <w:trPr>
          <w:jc w:val="center"/>
        </w:trPr>
        <w:tc>
          <w:tcPr>
            <w:tcW w:w="1304" w:type="pct"/>
            <w:vMerge/>
            <w:vAlign w:val="center"/>
          </w:tcPr>
          <w:p w14:paraId="632B963C" w14:textId="77777777" w:rsidR="0085038F" w:rsidRPr="0085038F" w:rsidRDefault="0085038F" w:rsidP="0085038F">
            <w:pPr>
              <w:jc w:val="center"/>
              <w:rPr>
                <w:b/>
              </w:rPr>
            </w:pPr>
          </w:p>
        </w:tc>
        <w:tc>
          <w:tcPr>
            <w:tcW w:w="1046" w:type="pct"/>
            <w:vAlign w:val="center"/>
          </w:tcPr>
          <w:p w14:paraId="1A2F6573" w14:textId="77777777" w:rsidR="0085038F" w:rsidRPr="0085038F" w:rsidRDefault="001D620E" w:rsidP="0085038F">
            <w:pPr>
              <w:jc w:val="center"/>
              <w:rPr>
                <w:b/>
              </w:rPr>
            </w:pPr>
            <w:r>
              <w:rPr>
                <w:b/>
              </w:rPr>
              <w:t>10</w:t>
            </w:r>
            <w:r w:rsidRPr="001D620E">
              <w:rPr>
                <w:b/>
                <w:vertAlign w:val="superscript"/>
              </w:rPr>
              <w:t>5</w:t>
            </w:r>
            <w:r>
              <w:rPr>
                <w:b/>
              </w:rPr>
              <w:t xml:space="preserve"> </w:t>
            </w:r>
            <w:r w:rsidR="0085038F" w:rsidRPr="0085038F">
              <w:rPr>
                <w:b/>
              </w:rPr>
              <w:t>n/s/cm</w:t>
            </w:r>
            <w:r w:rsidR="0085038F" w:rsidRPr="0085038F">
              <w:rPr>
                <w:b/>
                <w:vertAlign w:val="superscript"/>
              </w:rPr>
              <w:t>2</w:t>
            </w:r>
          </w:p>
        </w:tc>
        <w:tc>
          <w:tcPr>
            <w:tcW w:w="1092" w:type="pct"/>
            <w:vAlign w:val="center"/>
          </w:tcPr>
          <w:p w14:paraId="2753A49A" w14:textId="77777777" w:rsidR="0085038F" w:rsidRPr="0085038F" w:rsidRDefault="001D620E" w:rsidP="0085038F">
            <w:pPr>
              <w:jc w:val="center"/>
              <w:rPr>
                <w:b/>
              </w:rPr>
            </w:pPr>
            <w:r>
              <w:rPr>
                <w:b/>
              </w:rPr>
              <w:t>10</w:t>
            </w:r>
            <w:r w:rsidRPr="001D620E">
              <w:rPr>
                <w:b/>
                <w:vertAlign w:val="superscript"/>
              </w:rPr>
              <w:t>8</w:t>
            </w:r>
            <w:r>
              <w:rPr>
                <w:b/>
              </w:rPr>
              <w:t xml:space="preserve"> </w:t>
            </w:r>
            <w:r w:rsidR="0085038F" w:rsidRPr="0085038F">
              <w:rPr>
                <w:b/>
              </w:rPr>
              <w:t>n/s/cm</w:t>
            </w:r>
            <w:r w:rsidR="0085038F" w:rsidRPr="0085038F">
              <w:rPr>
                <w:b/>
                <w:vertAlign w:val="superscript"/>
              </w:rPr>
              <w:t>2</w:t>
            </w:r>
          </w:p>
        </w:tc>
        <w:tc>
          <w:tcPr>
            <w:tcW w:w="332" w:type="pct"/>
            <w:vAlign w:val="center"/>
          </w:tcPr>
          <w:p w14:paraId="4EDE67C9" w14:textId="77777777" w:rsidR="0085038F" w:rsidRPr="0085038F" w:rsidRDefault="0085038F" w:rsidP="0085038F">
            <w:pPr>
              <w:jc w:val="center"/>
              <w:rPr>
                <w:b/>
              </w:rPr>
            </w:pPr>
            <w:r w:rsidRPr="0085038F">
              <w:rPr>
                <w:b/>
              </w:rPr>
              <w:t>sr</w:t>
            </w:r>
          </w:p>
        </w:tc>
        <w:tc>
          <w:tcPr>
            <w:tcW w:w="318" w:type="pct"/>
            <w:vAlign w:val="center"/>
          </w:tcPr>
          <w:p w14:paraId="45405A91" w14:textId="77777777" w:rsidR="0085038F" w:rsidRPr="0085038F" w:rsidRDefault="0085038F" w:rsidP="0085038F">
            <w:pPr>
              <w:jc w:val="center"/>
              <w:rPr>
                <w:b/>
              </w:rPr>
            </w:pPr>
            <w:r w:rsidRPr="0085038F">
              <w:rPr>
                <w:b/>
              </w:rPr>
              <w:t>%</w:t>
            </w:r>
          </w:p>
        </w:tc>
        <w:tc>
          <w:tcPr>
            <w:tcW w:w="300" w:type="pct"/>
            <w:vAlign w:val="center"/>
          </w:tcPr>
          <w:p w14:paraId="50DF50A1" w14:textId="77777777" w:rsidR="0085038F" w:rsidRPr="0085038F" w:rsidRDefault="0085038F" w:rsidP="0085038F">
            <w:pPr>
              <w:jc w:val="center"/>
              <w:rPr>
                <w:b/>
              </w:rPr>
            </w:pPr>
            <w:r w:rsidRPr="0085038F">
              <w:rPr>
                <w:b/>
              </w:rPr>
              <w:t>%</w:t>
            </w:r>
          </w:p>
        </w:tc>
        <w:tc>
          <w:tcPr>
            <w:tcW w:w="308" w:type="pct"/>
            <w:vAlign w:val="center"/>
          </w:tcPr>
          <w:p w14:paraId="2225162B" w14:textId="77777777" w:rsidR="0085038F" w:rsidRPr="0085038F" w:rsidRDefault="0085038F" w:rsidP="0085038F">
            <w:pPr>
              <w:jc w:val="center"/>
              <w:rPr>
                <w:b/>
              </w:rPr>
            </w:pPr>
            <w:r w:rsidRPr="0085038F">
              <w:rPr>
                <w:rFonts w:cs="Segoe UI Historic"/>
                <w:b/>
              </w:rPr>
              <w:t>°</w:t>
            </w:r>
          </w:p>
        </w:tc>
        <w:tc>
          <w:tcPr>
            <w:tcW w:w="300" w:type="pct"/>
            <w:vAlign w:val="center"/>
          </w:tcPr>
          <w:p w14:paraId="03D035C2" w14:textId="77777777" w:rsidR="0085038F" w:rsidRPr="0085038F" w:rsidRDefault="0085038F" w:rsidP="0085038F">
            <w:pPr>
              <w:jc w:val="center"/>
              <w:rPr>
                <w:b/>
              </w:rPr>
            </w:pPr>
            <w:r w:rsidRPr="0085038F">
              <w:rPr>
                <w:b/>
              </w:rPr>
              <w:t>%</w:t>
            </w:r>
          </w:p>
        </w:tc>
      </w:tr>
      <w:tr w:rsidR="0085038F" w14:paraId="50339DA5" w14:textId="77777777" w:rsidTr="0031657B">
        <w:trPr>
          <w:jc w:val="center"/>
        </w:trPr>
        <w:tc>
          <w:tcPr>
            <w:tcW w:w="1304" w:type="pct"/>
            <w:vAlign w:val="center"/>
          </w:tcPr>
          <w:p w14:paraId="6D4D8F47" w14:textId="77777777" w:rsidR="0085038F" w:rsidRPr="0085038F" w:rsidRDefault="0085038F" w:rsidP="0085038F">
            <w:pPr>
              <w:rPr>
                <w:b/>
              </w:rPr>
            </w:pPr>
            <w:r w:rsidRPr="0085038F">
              <w:rPr>
                <w:b/>
              </w:rPr>
              <w:t>VESPA HR 0.8 MW</w:t>
            </w:r>
          </w:p>
        </w:tc>
        <w:tc>
          <w:tcPr>
            <w:tcW w:w="1046" w:type="pct"/>
            <w:vAlign w:val="center"/>
          </w:tcPr>
          <w:p w14:paraId="537E7594" w14:textId="77777777" w:rsidR="0085038F" w:rsidRPr="006B52B0" w:rsidRDefault="00A6386C" w:rsidP="0085038F">
            <w:pPr>
              <w:jc w:val="center"/>
            </w:pPr>
            <w:r w:rsidRPr="006B52B0">
              <w:t>1.86</w:t>
            </w:r>
          </w:p>
        </w:tc>
        <w:tc>
          <w:tcPr>
            <w:tcW w:w="1092" w:type="pct"/>
            <w:vAlign w:val="center"/>
          </w:tcPr>
          <w:p w14:paraId="35718010" w14:textId="77777777" w:rsidR="0085038F" w:rsidRPr="006B52B0" w:rsidRDefault="00A6386C" w:rsidP="0085038F">
            <w:pPr>
              <w:jc w:val="center"/>
            </w:pPr>
            <w:r w:rsidRPr="006B52B0">
              <w:t>7.</w:t>
            </w:r>
            <w:r w:rsidR="006B52B0" w:rsidRPr="006B52B0">
              <w:t>12</w:t>
            </w:r>
          </w:p>
        </w:tc>
        <w:tc>
          <w:tcPr>
            <w:tcW w:w="332" w:type="pct"/>
            <w:vAlign w:val="center"/>
          </w:tcPr>
          <w:p w14:paraId="5E4AC2B9" w14:textId="77777777" w:rsidR="0085038F" w:rsidRDefault="0085038F" w:rsidP="0085038F">
            <w:pPr>
              <w:jc w:val="center"/>
            </w:pPr>
            <w:r>
              <w:t>7.0</w:t>
            </w:r>
          </w:p>
        </w:tc>
        <w:tc>
          <w:tcPr>
            <w:tcW w:w="318" w:type="pct"/>
            <w:vAlign w:val="center"/>
          </w:tcPr>
          <w:p w14:paraId="751D1609" w14:textId="77777777" w:rsidR="0085038F" w:rsidRDefault="0085038F" w:rsidP="0085038F">
            <w:pPr>
              <w:jc w:val="center"/>
            </w:pPr>
            <w:r>
              <w:t>78</w:t>
            </w:r>
          </w:p>
        </w:tc>
        <w:tc>
          <w:tcPr>
            <w:tcW w:w="300" w:type="pct"/>
            <w:vAlign w:val="center"/>
          </w:tcPr>
          <w:p w14:paraId="77E34782" w14:textId="77777777" w:rsidR="0085038F" w:rsidRDefault="0085038F" w:rsidP="0085038F">
            <w:pPr>
              <w:jc w:val="center"/>
            </w:pPr>
            <w:r>
              <w:t>89</w:t>
            </w:r>
          </w:p>
        </w:tc>
        <w:tc>
          <w:tcPr>
            <w:tcW w:w="308" w:type="pct"/>
            <w:vAlign w:val="center"/>
          </w:tcPr>
          <w:p w14:paraId="653B4A2C" w14:textId="77777777" w:rsidR="0085038F" w:rsidRDefault="0085038F" w:rsidP="0085038F">
            <w:pPr>
              <w:jc w:val="center"/>
            </w:pPr>
            <w:r>
              <w:t>3</w:t>
            </w:r>
          </w:p>
        </w:tc>
        <w:tc>
          <w:tcPr>
            <w:tcW w:w="300" w:type="pct"/>
            <w:vAlign w:val="center"/>
          </w:tcPr>
          <w:p w14:paraId="2E99753E" w14:textId="77777777" w:rsidR="0085038F" w:rsidRDefault="001B0377" w:rsidP="0085038F">
            <w:pPr>
              <w:jc w:val="center"/>
            </w:pPr>
            <w:r>
              <w:t>80</w:t>
            </w:r>
          </w:p>
        </w:tc>
      </w:tr>
      <w:tr w:rsidR="0085038F" w14:paraId="69D7E5FD" w14:textId="77777777" w:rsidTr="0031657B">
        <w:trPr>
          <w:jc w:val="center"/>
        </w:trPr>
        <w:tc>
          <w:tcPr>
            <w:tcW w:w="1304" w:type="pct"/>
            <w:vAlign w:val="center"/>
          </w:tcPr>
          <w:p w14:paraId="67339FC7" w14:textId="77777777" w:rsidR="0085038F" w:rsidRPr="0085038F" w:rsidRDefault="0085038F" w:rsidP="0085038F">
            <w:pPr>
              <w:rPr>
                <w:b/>
              </w:rPr>
            </w:pPr>
            <w:r w:rsidRPr="0085038F">
              <w:rPr>
                <w:b/>
              </w:rPr>
              <w:t>VESPA HF 0.8 MW</w:t>
            </w:r>
          </w:p>
        </w:tc>
        <w:tc>
          <w:tcPr>
            <w:tcW w:w="1046" w:type="pct"/>
            <w:vAlign w:val="center"/>
          </w:tcPr>
          <w:p w14:paraId="42857128" w14:textId="77777777" w:rsidR="0085038F" w:rsidRPr="006B52B0" w:rsidRDefault="009237CD" w:rsidP="0085038F">
            <w:pPr>
              <w:jc w:val="center"/>
            </w:pPr>
            <w:r w:rsidRPr="006B52B0">
              <w:t>7</w:t>
            </w:r>
            <w:r w:rsidR="00A6386C" w:rsidRPr="006B52B0">
              <w:t>.</w:t>
            </w:r>
            <w:r w:rsidRPr="006B52B0">
              <w:t>52</w:t>
            </w:r>
          </w:p>
        </w:tc>
        <w:tc>
          <w:tcPr>
            <w:tcW w:w="1092" w:type="pct"/>
            <w:vAlign w:val="center"/>
          </w:tcPr>
          <w:p w14:paraId="1452D989" w14:textId="77777777" w:rsidR="0085038F" w:rsidRPr="006B52B0" w:rsidRDefault="009237CD" w:rsidP="0085038F">
            <w:pPr>
              <w:jc w:val="center"/>
            </w:pPr>
            <w:r w:rsidRPr="006B52B0">
              <w:t>13.04</w:t>
            </w:r>
          </w:p>
        </w:tc>
        <w:tc>
          <w:tcPr>
            <w:tcW w:w="332" w:type="pct"/>
            <w:vAlign w:val="center"/>
          </w:tcPr>
          <w:p w14:paraId="4970139E" w14:textId="77777777" w:rsidR="0085038F" w:rsidRDefault="0085038F" w:rsidP="0085038F">
            <w:pPr>
              <w:jc w:val="center"/>
            </w:pPr>
            <w:r>
              <w:t>7.0</w:t>
            </w:r>
          </w:p>
        </w:tc>
        <w:tc>
          <w:tcPr>
            <w:tcW w:w="318" w:type="pct"/>
            <w:vAlign w:val="center"/>
          </w:tcPr>
          <w:p w14:paraId="6BAD6CBD" w14:textId="77777777" w:rsidR="0085038F" w:rsidRDefault="0085038F" w:rsidP="0085038F">
            <w:pPr>
              <w:jc w:val="center"/>
            </w:pPr>
            <w:r>
              <w:t>78</w:t>
            </w:r>
          </w:p>
        </w:tc>
        <w:tc>
          <w:tcPr>
            <w:tcW w:w="300" w:type="pct"/>
            <w:vAlign w:val="center"/>
          </w:tcPr>
          <w:p w14:paraId="77316E6A" w14:textId="77777777" w:rsidR="0085038F" w:rsidRDefault="0085038F" w:rsidP="0085038F">
            <w:pPr>
              <w:jc w:val="center"/>
            </w:pPr>
            <w:r>
              <w:t>89</w:t>
            </w:r>
          </w:p>
        </w:tc>
        <w:tc>
          <w:tcPr>
            <w:tcW w:w="308" w:type="pct"/>
            <w:vAlign w:val="center"/>
          </w:tcPr>
          <w:p w14:paraId="3E65DDF5" w14:textId="77777777" w:rsidR="0085038F" w:rsidRDefault="0085038F" w:rsidP="0085038F">
            <w:pPr>
              <w:jc w:val="center"/>
            </w:pPr>
            <w:r>
              <w:t>3</w:t>
            </w:r>
          </w:p>
        </w:tc>
        <w:tc>
          <w:tcPr>
            <w:tcW w:w="300" w:type="pct"/>
            <w:vAlign w:val="center"/>
          </w:tcPr>
          <w:p w14:paraId="6500C6CF" w14:textId="77777777" w:rsidR="0085038F" w:rsidRDefault="001B0377" w:rsidP="0085038F">
            <w:pPr>
              <w:jc w:val="center"/>
            </w:pPr>
            <w:r>
              <w:t>80</w:t>
            </w:r>
          </w:p>
        </w:tc>
      </w:tr>
      <w:tr w:rsidR="0085038F" w14:paraId="74153CBD" w14:textId="77777777" w:rsidTr="0031657B">
        <w:trPr>
          <w:jc w:val="center"/>
        </w:trPr>
        <w:tc>
          <w:tcPr>
            <w:tcW w:w="1304" w:type="pct"/>
            <w:vAlign w:val="center"/>
          </w:tcPr>
          <w:p w14:paraId="1A9EFF3E" w14:textId="77777777" w:rsidR="0085038F" w:rsidRPr="0085038F" w:rsidRDefault="0085038F" w:rsidP="0085038F">
            <w:pPr>
              <w:rPr>
                <w:b/>
              </w:rPr>
            </w:pPr>
            <w:r w:rsidRPr="0085038F">
              <w:rPr>
                <w:b/>
              </w:rPr>
              <w:t>VESPA HR 2.0 MW</w:t>
            </w:r>
          </w:p>
        </w:tc>
        <w:tc>
          <w:tcPr>
            <w:tcW w:w="1046" w:type="pct"/>
            <w:vAlign w:val="center"/>
          </w:tcPr>
          <w:p w14:paraId="60B2A951" w14:textId="77777777" w:rsidR="0085038F" w:rsidRPr="006B52B0" w:rsidRDefault="00A6386C" w:rsidP="0085038F">
            <w:pPr>
              <w:jc w:val="center"/>
            </w:pPr>
            <w:r w:rsidRPr="006B52B0">
              <w:t>4.6</w:t>
            </w:r>
            <w:r w:rsidR="00AF1283" w:rsidRPr="006B52B0">
              <w:t>6</w:t>
            </w:r>
          </w:p>
        </w:tc>
        <w:tc>
          <w:tcPr>
            <w:tcW w:w="1092" w:type="pct"/>
            <w:vAlign w:val="center"/>
          </w:tcPr>
          <w:p w14:paraId="41166051" w14:textId="77777777" w:rsidR="0085038F" w:rsidRPr="006B52B0" w:rsidRDefault="00A6386C" w:rsidP="0085038F">
            <w:pPr>
              <w:jc w:val="center"/>
            </w:pPr>
            <w:r w:rsidRPr="006B52B0">
              <w:t>17</w:t>
            </w:r>
            <w:r w:rsidR="001D620E" w:rsidRPr="006B52B0">
              <w:t>.</w:t>
            </w:r>
            <w:r w:rsidR="006B52B0" w:rsidRPr="006B52B0">
              <w:t>79</w:t>
            </w:r>
          </w:p>
        </w:tc>
        <w:tc>
          <w:tcPr>
            <w:tcW w:w="332" w:type="pct"/>
            <w:vAlign w:val="center"/>
          </w:tcPr>
          <w:p w14:paraId="1279DFBE" w14:textId="77777777" w:rsidR="0085038F" w:rsidRDefault="0085038F" w:rsidP="0085038F">
            <w:pPr>
              <w:jc w:val="center"/>
            </w:pPr>
            <w:r>
              <w:t>7.0</w:t>
            </w:r>
          </w:p>
        </w:tc>
        <w:tc>
          <w:tcPr>
            <w:tcW w:w="318" w:type="pct"/>
            <w:vAlign w:val="center"/>
          </w:tcPr>
          <w:p w14:paraId="6889271B" w14:textId="77777777" w:rsidR="0085038F" w:rsidRDefault="0085038F" w:rsidP="0085038F">
            <w:pPr>
              <w:jc w:val="center"/>
            </w:pPr>
            <w:r>
              <w:t>78</w:t>
            </w:r>
          </w:p>
        </w:tc>
        <w:tc>
          <w:tcPr>
            <w:tcW w:w="300" w:type="pct"/>
            <w:vAlign w:val="center"/>
          </w:tcPr>
          <w:p w14:paraId="70AE21A7" w14:textId="77777777" w:rsidR="0085038F" w:rsidRDefault="0085038F" w:rsidP="0085038F">
            <w:pPr>
              <w:jc w:val="center"/>
            </w:pPr>
            <w:r>
              <w:t>89</w:t>
            </w:r>
          </w:p>
        </w:tc>
        <w:tc>
          <w:tcPr>
            <w:tcW w:w="308" w:type="pct"/>
            <w:vAlign w:val="center"/>
          </w:tcPr>
          <w:p w14:paraId="634E049E" w14:textId="77777777" w:rsidR="0085038F" w:rsidRDefault="0085038F" w:rsidP="0085038F">
            <w:pPr>
              <w:jc w:val="center"/>
            </w:pPr>
            <w:r>
              <w:t>3</w:t>
            </w:r>
          </w:p>
        </w:tc>
        <w:tc>
          <w:tcPr>
            <w:tcW w:w="300" w:type="pct"/>
            <w:vAlign w:val="center"/>
          </w:tcPr>
          <w:p w14:paraId="43141277" w14:textId="77777777" w:rsidR="0085038F" w:rsidRDefault="001B0377" w:rsidP="0085038F">
            <w:pPr>
              <w:jc w:val="center"/>
            </w:pPr>
            <w:r>
              <w:t>80</w:t>
            </w:r>
          </w:p>
        </w:tc>
      </w:tr>
      <w:tr w:rsidR="0085038F" w14:paraId="6026C30A" w14:textId="77777777" w:rsidTr="0031657B">
        <w:trPr>
          <w:jc w:val="center"/>
        </w:trPr>
        <w:tc>
          <w:tcPr>
            <w:tcW w:w="1304" w:type="pct"/>
            <w:vAlign w:val="center"/>
          </w:tcPr>
          <w:p w14:paraId="6DC812DF" w14:textId="77777777" w:rsidR="0085038F" w:rsidRPr="0085038F" w:rsidRDefault="0085038F" w:rsidP="0085038F">
            <w:pPr>
              <w:rPr>
                <w:b/>
              </w:rPr>
            </w:pPr>
            <w:r w:rsidRPr="0085038F">
              <w:rPr>
                <w:b/>
              </w:rPr>
              <w:t>VESPA HF 2.0 MW</w:t>
            </w:r>
          </w:p>
        </w:tc>
        <w:tc>
          <w:tcPr>
            <w:tcW w:w="1046" w:type="pct"/>
            <w:vAlign w:val="center"/>
          </w:tcPr>
          <w:p w14:paraId="2F88EABA" w14:textId="77777777" w:rsidR="0085038F" w:rsidRPr="009237CD" w:rsidRDefault="00A6386C" w:rsidP="0085038F">
            <w:pPr>
              <w:jc w:val="center"/>
              <w:rPr>
                <w:color w:val="FF0000"/>
              </w:rPr>
            </w:pPr>
            <w:r w:rsidRPr="009237CD">
              <w:t>1</w:t>
            </w:r>
            <w:r w:rsidR="009237CD" w:rsidRPr="009237CD">
              <w:t>8</w:t>
            </w:r>
            <w:r w:rsidR="001D620E" w:rsidRPr="009237CD">
              <w:t>.</w:t>
            </w:r>
            <w:r w:rsidR="009237CD" w:rsidRPr="009237CD">
              <w:t>80</w:t>
            </w:r>
          </w:p>
        </w:tc>
        <w:tc>
          <w:tcPr>
            <w:tcW w:w="1092" w:type="pct"/>
            <w:vAlign w:val="center"/>
          </w:tcPr>
          <w:p w14:paraId="32A1A2D6" w14:textId="77777777" w:rsidR="0085038F" w:rsidRPr="009237CD" w:rsidRDefault="009237CD" w:rsidP="0085038F">
            <w:pPr>
              <w:jc w:val="center"/>
              <w:rPr>
                <w:color w:val="FF0000"/>
              </w:rPr>
            </w:pPr>
            <w:r w:rsidRPr="009237CD">
              <w:t>32.59</w:t>
            </w:r>
          </w:p>
        </w:tc>
        <w:tc>
          <w:tcPr>
            <w:tcW w:w="332" w:type="pct"/>
            <w:vAlign w:val="center"/>
          </w:tcPr>
          <w:p w14:paraId="7DF0A73B" w14:textId="77777777" w:rsidR="0085038F" w:rsidRDefault="0085038F" w:rsidP="0085038F">
            <w:pPr>
              <w:jc w:val="center"/>
            </w:pPr>
            <w:r>
              <w:t>7.0</w:t>
            </w:r>
          </w:p>
        </w:tc>
        <w:tc>
          <w:tcPr>
            <w:tcW w:w="318" w:type="pct"/>
            <w:vAlign w:val="center"/>
          </w:tcPr>
          <w:p w14:paraId="144C8B2E" w14:textId="77777777" w:rsidR="0085038F" w:rsidRDefault="0085038F" w:rsidP="0085038F">
            <w:pPr>
              <w:jc w:val="center"/>
            </w:pPr>
            <w:r>
              <w:t>78</w:t>
            </w:r>
          </w:p>
        </w:tc>
        <w:tc>
          <w:tcPr>
            <w:tcW w:w="300" w:type="pct"/>
            <w:vAlign w:val="center"/>
          </w:tcPr>
          <w:p w14:paraId="57842A38" w14:textId="77777777" w:rsidR="0085038F" w:rsidRDefault="0085038F" w:rsidP="0085038F">
            <w:pPr>
              <w:jc w:val="center"/>
            </w:pPr>
            <w:r>
              <w:t>89</w:t>
            </w:r>
          </w:p>
        </w:tc>
        <w:tc>
          <w:tcPr>
            <w:tcW w:w="308" w:type="pct"/>
            <w:vAlign w:val="center"/>
          </w:tcPr>
          <w:p w14:paraId="04547D44" w14:textId="77777777" w:rsidR="0085038F" w:rsidRDefault="0085038F" w:rsidP="0085038F">
            <w:pPr>
              <w:jc w:val="center"/>
            </w:pPr>
            <w:r>
              <w:t>3</w:t>
            </w:r>
          </w:p>
        </w:tc>
        <w:tc>
          <w:tcPr>
            <w:tcW w:w="300" w:type="pct"/>
            <w:vAlign w:val="center"/>
          </w:tcPr>
          <w:p w14:paraId="385641CA" w14:textId="77777777" w:rsidR="0085038F" w:rsidRDefault="001B0377" w:rsidP="0085038F">
            <w:pPr>
              <w:jc w:val="center"/>
            </w:pPr>
            <w:r>
              <w:t>80</w:t>
            </w:r>
          </w:p>
        </w:tc>
      </w:tr>
      <w:tr w:rsidR="0085038F" w14:paraId="5221A3A4" w14:textId="77777777" w:rsidTr="0031657B">
        <w:trPr>
          <w:jc w:val="center"/>
        </w:trPr>
        <w:tc>
          <w:tcPr>
            <w:tcW w:w="1304" w:type="pct"/>
            <w:vAlign w:val="center"/>
          </w:tcPr>
          <w:p w14:paraId="4A153C9C" w14:textId="77777777" w:rsidR="0085038F" w:rsidRPr="0085038F" w:rsidRDefault="0085038F" w:rsidP="0085038F">
            <w:pPr>
              <w:rPr>
                <w:b/>
              </w:rPr>
            </w:pPr>
            <w:r w:rsidRPr="0085038F">
              <w:rPr>
                <w:b/>
              </w:rPr>
              <w:t>TOSCA</w:t>
            </w:r>
          </w:p>
        </w:tc>
        <w:tc>
          <w:tcPr>
            <w:tcW w:w="1046" w:type="pct"/>
            <w:vAlign w:val="center"/>
          </w:tcPr>
          <w:p w14:paraId="2BC30EAE" w14:textId="77777777" w:rsidR="0085038F" w:rsidRDefault="00A6386C" w:rsidP="0085038F">
            <w:pPr>
              <w:jc w:val="center"/>
            </w:pPr>
            <w:r>
              <w:t>3.10</w:t>
            </w:r>
          </w:p>
        </w:tc>
        <w:tc>
          <w:tcPr>
            <w:tcW w:w="1092" w:type="pct"/>
            <w:vAlign w:val="center"/>
          </w:tcPr>
          <w:p w14:paraId="7516F32A" w14:textId="77777777" w:rsidR="0085038F" w:rsidRDefault="00A6386C" w:rsidP="0085038F">
            <w:pPr>
              <w:jc w:val="center"/>
            </w:pPr>
            <w:r>
              <w:t>3.74</w:t>
            </w:r>
          </w:p>
        </w:tc>
        <w:tc>
          <w:tcPr>
            <w:tcW w:w="332" w:type="pct"/>
            <w:vAlign w:val="center"/>
          </w:tcPr>
          <w:p w14:paraId="0C7B76D1" w14:textId="77777777" w:rsidR="0085038F" w:rsidRDefault="0085038F" w:rsidP="0085038F">
            <w:pPr>
              <w:jc w:val="center"/>
            </w:pPr>
            <w:r>
              <w:t>1.0</w:t>
            </w:r>
          </w:p>
        </w:tc>
        <w:tc>
          <w:tcPr>
            <w:tcW w:w="318" w:type="pct"/>
            <w:vAlign w:val="center"/>
          </w:tcPr>
          <w:p w14:paraId="7789DA42" w14:textId="77777777" w:rsidR="0085038F" w:rsidRDefault="0085038F" w:rsidP="0085038F">
            <w:pPr>
              <w:jc w:val="center"/>
            </w:pPr>
            <w:r>
              <w:t>48</w:t>
            </w:r>
          </w:p>
        </w:tc>
        <w:tc>
          <w:tcPr>
            <w:tcW w:w="300" w:type="pct"/>
            <w:vAlign w:val="center"/>
          </w:tcPr>
          <w:p w14:paraId="7E8707DD" w14:textId="77777777" w:rsidR="0085038F" w:rsidRDefault="001B0377" w:rsidP="0085038F">
            <w:pPr>
              <w:jc w:val="center"/>
            </w:pPr>
            <w:r>
              <w:t>81</w:t>
            </w:r>
          </w:p>
        </w:tc>
        <w:tc>
          <w:tcPr>
            <w:tcW w:w="308" w:type="pct"/>
            <w:vAlign w:val="center"/>
          </w:tcPr>
          <w:p w14:paraId="1D45AD16" w14:textId="77777777" w:rsidR="0085038F" w:rsidRDefault="0085038F" w:rsidP="0085038F">
            <w:pPr>
              <w:jc w:val="center"/>
            </w:pPr>
            <w:r>
              <w:t>2</w:t>
            </w:r>
          </w:p>
        </w:tc>
        <w:tc>
          <w:tcPr>
            <w:tcW w:w="300" w:type="pct"/>
            <w:vAlign w:val="center"/>
          </w:tcPr>
          <w:p w14:paraId="150DEBF4" w14:textId="77777777" w:rsidR="0085038F" w:rsidRDefault="001B0377" w:rsidP="0085038F">
            <w:pPr>
              <w:jc w:val="center"/>
            </w:pPr>
            <w:r>
              <w:t>80</w:t>
            </w:r>
          </w:p>
        </w:tc>
      </w:tr>
      <w:tr w:rsidR="0085038F" w14:paraId="0B97A490" w14:textId="77777777" w:rsidTr="0031657B">
        <w:trPr>
          <w:jc w:val="center"/>
        </w:trPr>
        <w:tc>
          <w:tcPr>
            <w:tcW w:w="1304" w:type="pct"/>
            <w:vAlign w:val="center"/>
          </w:tcPr>
          <w:p w14:paraId="6F8FA6AA" w14:textId="77777777" w:rsidR="0085038F" w:rsidRPr="0085038F" w:rsidRDefault="0085038F" w:rsidP="0085038F">
            <w:pPr>
              <w:rPr>
                <w:b/>
              </w:rPr>
            </w:pPr>
            <w:r w:rsidRPr="0085038F">
              <w:rPr>
                <w:b/>
              </w:rPr>
              <w:t>TOSCA+</w:t>
            </w:r>
          </w:p>
        </w:tc>
        <w:tc>
          <w:tcPr>
            <w:tcW w:w="1046" w:type="pct"/>
            <w:vAlign w:val="center"/>
          </w:tcPr>
          <w:p w14:paraId="74F9AAA9" w14:textId="77777777" w:rsidR="0085038F" w:rsidRDefault="00A6386C" w:rsidP="0085038F">
            <w:pPr>
              <w:jc w:val="center"/>
            </w:pPr>
            <w:r>
              <w:t>3.10</w:t>
            </w:r>
          </w:p>
        </w:tc>
        <w:tc>
          <w:tcPr>
            <w:tcW w:w="1092" w:type="pct"/>
            <w:vAlign w:val="center"/>
          </w:tcPr>
          <w:p w14:paraId="29150C9B" w14:textId="77777777" w:rsidR="0085038F" w:rsidRDefault="00A6386C" w:rsidP="0085038F">
            <w:pPr>
              <w:jc w:val="center"/>
            </w:pPr>
            <w:r>
              <w:t>3.74</w:t>
            </w:r>
          </w:p>
        </w:tc>
        <w:tc>
          <w:tcPr>
            <w:tcW w:w="332" w:type="pct"/>
            <w:vAlign w:val="center"/>
          </w:tcPr>
          <w:p w14:paraId="27916FDA" w14:textId="77777777" w:rsidR="0085038F" w:rsidRDefault="0085038F" w:rsidP="0085038F">
            <w:pPr>
              <w:jc w:val="center"/>
            </w:pPr>
            <w:r>
              <w:t>6.3</w:t>
            </w:r>
          </w:p>
        </w:tc>
        <w:tc>
          <w:tcPr>
            <w:tcW w:w="318" w:type="pct"/>
            <w:vAlign w:val="center"/>
          </w:tcPr>
          <w:p w14:paraId="117CB3FF" w14:textId="77777777" w:rsidR="0085038F" w:rsidRDefault="0085038F" w:rsidP="0085038F">
            <w:pPr>
              <w:jc w:val="center"/>
            </w:pPr>
            <w:r>
              <w:t>78</w:t>
            </w:r>
          </w:p>
        </w:tc>
        <w:tc>
          <w:tcPr>
            <w:tcW w:w="300" w:type="pct"/>
            <w:vAlign w:val="center"/>
          </w:tcPr>
          <w:p w14:paraId="78120125" w14:textId="77777777" w:rsidR="0085038F" w:rsidRDefault="0085038F" w:rsidP="0085038F">
            <w:pPr>
              <w:jc w:val="center"/>
            </w:pPr>
            <w:r>
              <w:t>89</w:t>
            </w:r>
          </w:p>
        </w:tc>
        <w:tc>
          <w:tcPr>
            <w:tcW w:w="308" w:type="pct"/>
            <w:vAlign w:val="center"/>
          </w:tcPr>
          <w:p w14:paraId="65C2DB87" w14:textId="77777777" w:rsidR="0085038F" w:rsidRDefault="0085038F" w:rsidP="0085038F">
            <w:pPr>
              <w:jc w:val="center"/>
            </w:pPr>
            <w:r>
              <w:t>3</w:t>
            </w:r>
          </w:p>
        </w:tc>
        <w:tc>
          <w:tcPr>
            <w:tcW w:w="300" w:type="pct"/>
            <w:vAlign w:val="center"/>
          </w:tcPr>
          <w:p w14:paraId="7F6CCA3E" w14:textId="77777777" w:rsidR="0085038F" w:rsidRDefault="001B0377" w:rsidP="0085038F">
            <w:pPr>
              <w:jc w:val="center"/>
            </w:pPr>
            <w:r>
              <w:t>80</w:t>
            </w:r>
          </w:p>
        </w:tc>
      </w:tr>
      <w:tr w:rsidR="0085038F" w14:paraId="4B0A4E95" w14:textId="77777777" w:rsidTr="0031657B">
        <w:trPr>
          <w:jc w:val="center"/>
        </w:trPr>
        <w:tc>
          <w:tcPr>
            <w:tcW w:w="1304" w:type="pct"/>
            <w:vAlign w:val="center"/>
          </w:tcPr>
          <w:p w14:paraId="5390DB56" w14:textId="77777777" w:rsidR="0085038F" w:rsidRPr="0085038F" w:rsidRDefault="0085038F" w:rsidP="0085038F">
            <w:pPr>
              <w:rPr>
                <w:b/>
              </w:rPr>
            </w:pPr>
            <w:r w:rsidRPr="0085038F">
              <w:rPr>
                <w:b/>
              </w:rPr>
              <w:t>VISION 1.4 MW</w:t>
            </w:r>
          </w:p>
        </w:tc>
        <w:tc>
          <w:tcPr>
            <w:tcW w:w="1046" w:type="pct"/>
            <w:vAlign w:val="center"/>
          </w:tcPr>
          <w:p w14:paraId="773B66D4" w14:textId="77777777" w:rsidR="0085038F" w:rsidRDefault="00A6386C" w:rsidP="0085038F">
            <w:pPr>
              <w:jc w:val="center"/>
            </w:pPr>
            <w:r>
              <w:t>6.38</w:t>
            </w:r>
          </w:p>
        </w:tc>
        <w:tc>
          <w:tcPr>
            <w:tcW w:w="1092" w:type="pct"/>
            <w:vAlign w:val="center"/>
          </w:tcPr>
          <w:p w14:paraId="3CE4C522" w14:textId="77777777" w:rsidR="0085038F" w:rsidRDefault="00A6386C" w:rsidP="0085038F">
            <w:pPr>
              <w:jc w:val="center"/>
            </w:pPr>
            <w:r>
              <w:t>7.13</w:t>
            </w:r>
          </w:p>
        </w:tc>
        <w:tc>
          <w:tcPr>
            <w:tcW w:w="332" w:type="pct"/>
            <w:vAlign w:val="center"/>
          </w:tcPr>
          <w:p w14:paraId="2F6B7568" w14:textId="77777777" w:rsidR="0085038F" w:rsidRDefault="0085038F" w:rsidP="0085038F">
            <w:pPr>
              <w:jc w:val="center"/>
            </w:pPr>
            <w:r>
              <w:t>3.5</w:t>
            </w:r>
          </w:p>
        </w:tc>
        <w:tc>
          <w:tcPr>
            <w:tcW w:w="318" w:type="pct"/>
            <w:vAlign w:val="center"/>
          </w:tcPr>
          <w:p w14:paraId="4883D845" w14:textId="77777777" w:rsidR="0085038F" w:rsidRDefault="0085038F" w:rsidP="0085038F">
            <w:pPr>
              <w:jc w:val="center"/>
            </w:pPr>
            <w:r>
              <w:t>70</w:t>
            </w:r>
          </w:p>
        </w:tc>
        <w:tc>
          <w:tcPr>
            <w:tcW w:w="300" w:type="pct"/>
            <w:vAlign w:val="center"/>
          </w:tcPr>
          <w:p w14:paraId="050C9F78" w14:textId="77777777" w:rsidR="0085038F" w:rsidRDefault="001B0377" w:rsidP="0085038F">
            <w:pPr>
              <w:jc w:val="center"/>
            </w:pPr>
            <w:r>
              <w:t>80</w:t>
            </w:r>
          </w:p>
        </w:tc>
        <w:tc>
          <w:tcPr>
            <w:tcW w:w="308" w:type="pct"/>
            <w:vAlign w:val="center"/>
          </w:tcPr>
          <w:p w14:paraId="504E6E3F" w14:textId="77777777" w:rsidR="0085038F" w:rsidRDefault="0085038F" w:rsidP="0085038F">
            <w:pPr>
              <w:jc w:val="center"/>
            </w:pPr>
            <w:r>
              <w:t>2</w:t>
            </w:r>
          </w:p>
        </w:tc>
        <w:tc>
          <w:tcPr>
            <w:tcW w:w="300" w:type="pct"/>
            <w:vAlign w:val="center"/>
          </w:tcPr>
          <w:p w14:paraId="6BE854CE" w14:textId="77777777" w:rsidR="0085038F" w:rsidRDefault="001B0377" w:rsidP="0085038F">
            <w:pPr>
              <w:jc w:val="center"/>
            </w:pPr>
            <w:r>
              <w:t>80</w:t>
            </w:r>
          </w:p>
        </w:tc>
      </w:tr>
      <w:tr w:rsidR="0085038F" w14:paraId="028792C7" w14:textId="77777777" w:rsidTr="0031657B">
        <w:trPr>
          <w:jc w:val="center"/>
        </w:trPr>
        <w:tc>
          <w:tcPr>
            <w:tcW w:w="1304" w:type="pct"/>
            <w:vAlign w:val="center"/>
          </w:tcPr>
          <w:p w14:paraId="65758B9C" w14:textId="77777777" w:rsidR="0085038F" w:rsidRPr="0085038F" w:rsidRDefault="0085038F" w:rsidP="0085038F">
            <w:pPr>
              <w:rPr>
                <w:b/>
              </w:rPr>
            </w:pPr>
            <w:r w:rsidRPr="0085038F">
              <w:rPr>
                <w:b/>
              </w:rPr>
              <w:t>VISION 2.0 MW</w:t>
            </w:r>
          </w:p>
        </w:tc>
        <w:tc>
          <w:tcPr>
            <w:tcW w:w="1046" w:type="pct"/>
            <w:vAlign w:val="center"/>
          </w:tcPr>
          <w:p w14:paraId="6979C592" w14:textId="77777777" w:rsidR="0085038F" w:rsidRDefault="00A6386C" w:rsidP="0085038F">
            <w:pPr>
              <w:jc w:val="center"/>
            </w:pPr>
            <w:r>
              <w:t>9.12</w:t>
            </w:r>
          </w:p>
        </w:tc>
        <w:tc>
          <w:tcPr>
            <w:tcW w:w="1092" w:type="pct"/>
            <w:vAlign w:val="center"/>
          </w:tcPr>
          <w:p w14:paraId="7F9D7370" w14:textId="77777777" w:rsidR="0085038F" w:rsidRDefault="00A6386C" w:rsidP="0085038F">
            <w:pPr>
              <w:jc w:val="center"/>
            </w:pPr>
            <w:r>
              <w:t>10</w:t>
            </w:r>
            <w:r w:rsidR="001D620E">
              <w:t>.</w:t>
            </w:r>
            <w:r w:rsidR="000B124B">
              <w:t>19</w:t>
            </w:r>
          </w:p>
        </w:tc>
        <w:tc>
          <w:tcPr>
            <w:tcW w:w="332" w:type="pct"/>
            <w:vAlign w:val="center"/>
          </w:tcPr>
          <w:p w14:paraId="56628420" w14:textId="77777777" w:rsidR="0085038F" w:rsidRDefault="0085038F" w:rsidP="0085038F">
            <w:pPr>
              <w:jc w:val="center"/>
            </w:pPr>
            <w:r>
              <w:t>3.5</w:t>
            </w:r>
          </w:p>
        </w:tc>
        <w:tc>
          <w:tcPr>
            <w:tcW w:w="318" w:type="pct"/>
            <w:vAlign w:val="center"/>
          </w:tcPr>
          <w:p w14:paraId="1C73A3CE" w14:textId="77777777" w:rsidR="0085038F" w:rsidRDefault="0085038F" w:rsidP="0085038F">
            <w:pPr>
              <w:jc w:val="center"/>
            </w:pPr>
            <w:r>
              <w:t>70</w:t>
            </w:r>
          </w:p>
        </w:tc>
        <w:tc>
          <w:tcPr>
            <w:tcW w:w="300" w:type="pct"/>
            <w:vAlign w:val="center"/>
          </w:tcPr>
          <w:p w14:paraId="1B5FEA0F" w14:textId="77777777" w:rsidR="0085038F" w:rsidRDefault="001B0377" w:rsidP="0085038F">
            <w:pPr>
              <w:jc w:val="center"/>
            </w:pPr>
            <w:r>
              <w:t>80</w:t>
            </w:r>
          </w:p>
        </w:tc>
        <w:tc>
          <w:tcPr>
            <w:tcW w:w="308" w:type="pct"/>
            <w:vAlign w:val="center"/>
          </w:tcPr>
          <w:p w14:paraId="49A2FB38" w14:textId="77777777" w:rsidR="0085038F" w:rsidRDefault="0085038F" w:rsidP="0085038F">
            <w:pPr>
              <w:jc w:val="center"/>
            </w:pPr>
            <w:r>
              <w:t>2</w:t>
            </w:r>
          </w:p>
        </w:tc>
        <w:tc>
          <w:tcPr>
            <w:tcW w:w="300" w:type="pct"/>
            <w:vAlign w:val="center"/>
          </w:tcPr>
          <w:p w14:paraId="0C8C6EE9" w14:textId="77777777" w:rsidR="0085038F" w:rsidRDefault="001B0377" w:rsidP="0085038F">
            <w:pPr>
              <w:jc w:val="center"/>
            </w:pPr>
            <w:r>
              <w:t>80</w:t>
            </w:r>
          </w:p>
        </w:tc>
      </w:tr>
    </w:tbl>
    <w:p w14:paraId="26167D43" w14:textId="77777777" w:rsidR="00FE3AE3" w:rsidRDefault="00FE3AE3" w:rsidP="00F73526">
      <w:pPr>
        <w:jc w:val="both"/>
      </w:pPr>
    </w:p>
    <w:p w14:paraId="47D04A2F" w14:textId="77777777" w:rsidR="00FE3AE3" w:rsidRDefault="00FE3AE3" w:rsidP="00FE3AE3">
      <w:pPr>
        <w:pStyle w:val="Heading2"/>
      </w:pPr>
      <w:bookmarkStart w:id="5" w:name="_Ref171063592"/>
      <w:bookmarkStart w:id="6" w:name="_Toc171669163"/>
      <w:r>
        <w:t>Signal-to-noise</w:t>
      </w:r>
      <w:bookmarkEnd w:id="5"/>
      <w:bookmarkEnd w:id="6"/>
    </w:p>
    <w:p w14:paraId="1CBACB90" w14:textId="77777777" w:rsidR="00993211" w:rsidRDefault="00031968" w:rsidP="00F73526">
      <w:pPr>
        <w:jc w:val="both"/>
      </w:pPr>
      <w:r>
        <w:t xml:space="preserve">Alternatively, for </w:t>
      </w:r>
      <w:r w:rsidR="005B7898">
        <w:t xml:space="preserve">weakly scattering samples or </w:t>
      </w:r>
      <w:r>
        <w:t xml:space="preserve">experiments that are close to the limit of detection (LOD) or of quantisation (LOQ), a figure of merit which include the </w:t>
      </w:r>
      <w:r w:rsidR="00B478CF">
        <w:t xml:space="preserve">SNR </w:t>
      </w:r>
      <w:r w:rsidR="005B7898">
        <w:t>c</w:t>
      </w:r>
      <w:r w:rsidR="00B478CF">
        <w:t xml:space="preserve">ould be considered, </w:t>
      </w:r>
      <w:r w:rsidR="005B7898">
        <w:t xml:space="preserve">where the SNR here </w:t>
      </w:r>
      <w:r w:rsidR="008718A9">
        <w:t>is defined</w:t>
      </w:r>
      <w:r w:rsidR="005B7898">
        <w:t xml:space="preserve"> as the average background level when the detected intensity is normalised to 1.</w:t>
      </w:r>
      <w:r w:rsidR="008718A9">
        <w:t xml:space="preserve"> </w:t>
      </w:r>
      <w:r w:rsidR="00993211">
        <w:t xml:space="preserve">The current SNR of TOSCA and VISION </w:t>
      </w:r>
      <w:r w:rsidR="00845AEA">
        <w:t>are</w:t>
      </w:r>
      <w:r w:rsidR="00993211">
        <w:t xml:space="preserve"> estimated to </w:t>
      </w:r>
      <w:r w:rsidR="001C6A25">
        <w:t>3</w:t>
      </w:r>
      <w:r w:rsidR="0034130F">
        <w:sym w:font="Symbol" w:char="F0B4"/>
      </w:r>
      <w:r w:rsidR="00845AEA">
        <w:t>1</w:t>
      </w:r>
      <w:r w:rsidR="00993211">
        <w:t>0</w:t>
      </w:r>
      <w:r w:rsidR="00993211" w:rsidRPr="00993211">
        <w:rPr>
          <w:vertAlign w:val="superscript"/>
        </w:rPr>
        <w:t>-3</w:t>
      </w:r>
      <w:r w:rsidR="00993211">
        <w:t>,</w:t>
      </w:r>
      <w:r w:rsidR="00845AEA">
        <w:t xml:space="preserve"> and the SNR target for next generation NVS instruments, TOSCA+ and VESPA, </w:t>
      </w:r>
      <w:r w:rsidR="001826F5">
        <w:t>should be</w:t>
      </w:r>
      <w:r w:rsidR="00845AEA">
        <w:t xml:space="preserve"> 10</w:t>
      </w:r>
      <w:r w:rsidR="00845AEA" w:rsidRPr="00845AEA">
        <w:rPr>
          <w:vertAlign w:val="superscript"/>
        </w:rPr>
        <w:t>-4</w:t>
      </w:r>
      <w:r w:rsidR="00845AEA">
        <w:t xml:space="preserve"> or better.</w:t>
      </w:r>
    </w:p>
    <w:p w14:paraId="452008A9" w14:textId="77777777" w:rsidR="003929DA" w:rsidRDefault="00845AEA" w:rsidP="00F73526">
      <w:pPr>
        <w:jc w:val="both"/>
      </w:pPr>
      <w:r>
        <w:t>Note that the above</w:t>
      </w:r>
      <w:r w:rsidR="00874290">
        <w:t>-</w:t>
      </w:r>
      <w:r>
        <w:t xml:space="preserve">mentioned </w:t>
      </w:r>
      <w:r w:rsidR="00874290">
        <w:t xml:space="preserve">SNR </w:t>
      </w:r>
      <w:r>
        <w:t xml:space="preserve">numbers are </w:t>
      </w:r>
      <w:r w:rsidR="00874290">
        <w:t>qualitative</w:t>
      </w:r>
      <w:r w:rsidR="00B5110E">
        <w:t xml:space="preserve">. Indeed, </w:t>
      </w:r>
      <w:r w:rsidR="00F449CE">
        <w:t xml:space="preserve">a </w:t>
      </w:r>
      <w:r w:rsidR="00B5110E">
        <w:t>quantit</w:t>
      </w:r>
      <w:r w:rsidR="00F449CE">
        <w:t>at</w:t>
      </w:r>
      <w:r w:rsidR="00B5110E">
        <w:t>ive evaluati</w:t>
      </w:r>
      <w:r w:rsidR="00F449CE">
        <w:t>on</w:t>
      </w:r>
      <w:r w:rsidR="00B5110E">
        <w:t xml:space="preserve"> </w:t>
      </w:r>
      <w:r w:rsidR="00F449CE">
        <w:t xml:space="preserve">of </w:t>
      </w:r>
      <w:r w:rsidR="00B5110E">
        <w:t xml:space="preserve">the background level is impossible as it is strongly sample-dependent </w:t>
      </w:r>
      <w:r w:rsidR="00F449CE">
        <w:t>and</w:t>
      </w:r>
      <w:r w:rsidR="00B5110E">
        <w:t xml:space="preserve"> </w:t>
      </w:r>
      <w:r w:rsidR="003929DA">
        <w:t xml:space="preserve">potentially </w:t>
      </w:r>
      <w:r w:rsidR="00B5110E">
        <w:t>textured (non-uniform) as a function of energy transfer. The historical dependency</w:t>
      </w:r>
      <w:r w:rsidR="005213DA">
        <w:t xml:space="preserve"> of NVS background</w:t>
      </w:r>
      <w:r w:rsidR="00B5110E">
        <w:t xml:space="preserve"> on the sample is mainly due </w:t>
      </w:r>
      <w:r w:rsidR="005213DA">
        <w:t>to thermal leakage through the beryllium filter of high-energy neutrons scattered by the (004) and higher order (00l) reflections of the HOPG analyser</w:t>
      </w:r>
      <w:r w:rsidR="00F449CE">
        <w:t xml:space="preserve">. Even if the thermal leakage could be suppressed to negligible level, </w:t>
      </w:r>
      <w:r w:rsidR="003929DA">
        <w:t xml:space="preserve">the presence of significant </w:t>
      </w:r>
      <w:r w:rsidR="007A5830">
        <w:t>multi</w:t>
      </w:r>
      <w:r w:rsidR="003929DA">
        <w:t>-</w:t>
      </w:r>
      <w:r w:rsidR="007A5830">
        <w:t>phonon scattering</w:t>
      </w:r>
      <w:r w:rsidR="003929DA">
        <w:t xml:space="preserve"> in NVS spectra, which </w:t>
      </w:r>
      <w:r w:rsidR="007A5830">
        <w:t xml:space="preserve">appears as </w:t>
      </w:r>
      <w:r w:rsidR="00072E42">
        <w:t xml:space="preserve">peaks at low energy transfer but as </w:t>
      </w:r>
      <w:r w:rsidR="007A5830">
        <w:t>broad continuous feature</w:t>
      </w:r>
      <w:r w:rsidR="00072E42">
        <w:t>s</w:t>
      </w:r>
      <w:r w:rsidR="007A5830">
        <w:t xml:space="preserve"> at high energy transfer, </w:t>
      </w:r>
      <w:r w:rsidR="003929DA">
        <w:t>means that it is impossible without materials simulation support to identify region of the spectra that are only “background”.</w:t>
      </w:r>
      <w:r w:rsidR="00072E42">
        <w:t xml:space="preserve"> Despite the difficulty in assessing background, it is critical to ensure that the intensity of all contributions that are not originating from the sample scattering laws are negligible.</w:t>
      </w:r>
    </w:p>
    <w:p w14:paraId="78F921D1" w14:textId="77777777" w:rsidR="00F73526" w:rsidRDefault="00072E42" w:rsidP="00F73526">
      <w:pPr>
        <w:jc w:val="both"/>
      </w:pPr>
      <w:r>
        <w:t xml:space="preserve">It follows that, </w:t>
      </w:r>
      <w:r w:rsidR="003929DA">
        <w:t xml:space="preserve">with the help of </w:t>
      </w:r>
      <w:r>
        <w:t xml:space="preserve">instrument </w:t>
      </w:r>
      <w:r w:rsidR="003929DA">
        <w:t>simulations</w:t>
      </w:r>
      <w:r>
        <w:t>, all</w:t>
      </w:r>
      <w:r w:rsidR="003929DA">
        <w:t xml:space="preserve"> individual</w:t>
      </w:r>
      <w:r w:rsidR="005B7898">
        <w:t xml:space="preserve"> contributions to the background </w:t>
      </w:r>
      <w:r>
        <w:t>should be minimized. These are</w:t>
      </w:r>
      <w:r w:rsidR="005B7898">
        <w:t xml:space="preserve"> (1) parasitic streams and other unwanted cold and thermal neutrons transported by the BTCS to the sample position, (2) epithermal and high energy neutrons reaching the end of the guide, (3) aluminium powder lines reaching the detector, (4) thermal leakage of high energy neutrons through the beryllium filter, and (5) </w:t>
      </w:r>
      <w:r w:rsidR="008718A9">
        <w:t xml:space="preserve">detection of </w:t>
      </w:r>
      <w:r w:rsidR="008718A9">
        <w:sym w:font="Symbol" w:char="F067"/>
      </w:r>
      <w:r w:rsidR="008718A9">
        <w:t xml:space="preserve"> or high-energy neutrons by the detector. Practically, every </w:t>
      </w:r>
      <w:r w:rsidR="003929DA">
        <w:t xml:space="preserve">individual </w:t>
      </w:r>
      <w:r w:rsidR="008718A9">
        <w:t>contribution to the background should be lower than 10</w:t>
      </w:r>
      <w:r w:rsidR="008718A9" w:rsidRPr="008718A9">
        <w:rPr>
          <w:vertAlign w:val="superscript"/>
        </w:rPr>
        <w:t>-5</w:t>
      </w:r>
      <w:r w:rsidR="008718A9">
        <w:t>, so that the total instrumental contribution to the background is lower than 10</w:t>
      </w:r>
      <w:r w:rsidR="008718A9" w:rsidRPr="008718A9">
        <w:rPr>
          <w:vertAlign w:val="superscript"/>
        </w:rPr>
        <w:t>-4</w:t>
      </w:r>
      <w:r w:rsidR="008718A9">
        <w:t>.</w:t>
      </w:r>
    </w:p>
    <w:p w14:paraId="08935ABF" w14:textId="77777777" w:rsidR="00B2221D" w:rsidRDefault="00EB023E" w:rsidP="00F73526">
      <w:pPr>
        <w:jc w:val="both"/>
      </w:pPr>
      <w:r>
        <w:t xml:space="preserve">Evaluating the contribution of the T0 chopper to the background is particularly complicated. A qualitative estimation can however be obtained from experimental data from existing instruments. </w:t>
      </w:r>
      <w:r>
        <w:lastRenderedPageBreak/>
        <w:t xml:space="preserve">For instance, </w:t>
      </w:r>
      <w:r w:rsidR="009D35FE">
        <w:t xml:space="preserve">for </w:t>
      </w:r>
      <w:r>
        <w:t>the 4SEASONS spectrometer at JPARC</w:t>
      </w:r>
      <w:r w:rsidR="009D35FE">
        <w:t xml:space="preserve">, the background increases by a factor 5 to 10, from a level of 0.02 with the T0 chopper, to 0.1-0.2 without it </w:t>
      </w:r>
      <w:r w:rsidR="009D35FE" w:rsidRPr="00FE3AE3">
        <w:rPr>
          <w:highlight w:val="green"/>
        </w:rPr>
        <w:t>[</w:t>
      </w:r>
      <w:r w:rsidR="0063007D">
        <w:rPr>
          <w:highlight w:val="green"/>
        </w:rPr>
        <w:t>5</w:t>
      </w:r>
      <w:r w:rsidR="009D35FE" w:rsidRPr="00FE3AE3">
        <w:rPr>
          <w:highlight w:val="green"/>
        </w:rPr>
        <w:t>]</w:t>
      </w:r>
      <w:r w:rsidR="009D35FE">
        <w:t>.</w:t>
      </w:r>
      <w:r w:rsidR="009750A7">
        <w:t xml:space="preserve"> </w:t>
      </w:r>
    </w:p>
    <w:p w14:paraId="180D029E" w14:textId="77777777" w:rsidR="00A7510A" w:rsidRDefault="009750A7" w:rsidP="00F73526">
      <w:pPr>
        <w:jc w:val="both"/>
      </w:pPr>
      <w:r>
        <w:t>Another particularly relevant example is the VISION spectrometer at SNS</w:t>
      </w:r>
      <w:r w:rsidR="00A7510A">
        <w:t>. Indeed</w:t>
      </w:r>
      <w:r w:rsidR="00D828BE">
        <w:t xml:space="preserve">, test measurements of the empty cryostat while progressively dephasing their T0 chopper up to 30 </w:t>
      </w:r>
      <w:r w:rsidR="00D828BE">
        <w:sym w:font="Symbol" w:char="F06D"/>
      </w:r>
      <w:r w:rsidR="00D828BE">
        <w:t xml:space="preserve">s from its nominal phase have been performed by the VISION team </w:t>
      </w:r>
      <w:r w:rsidR="00D828BE" w:rsidRPr="00D828BE">
        <w:rPr>
          <w:highlight w:val="green"/>
        </w:rPr>
        <w:t>[4]</w:t>
      </w:r>
      <w:r w:rsidR="00D828BE">
        <w:t xml:space="preserve">. </w:t>
      </w:r>
      <w:r w:rsidR="000942C3">
        <w:t xml:space="preserve">Their results indicate that, in the TOF range where the pulse is generated, where </w:t>
      </w:r>
      <w:r w:rsidR="000942C3">
        <w:sym w:font="Symbol" w:char="F067"/>
      </w:r>
      <w:r w:rsidR="000942C3">
        <w:t xml:space="preserve">  and epithermal neutrons can be directly detected by the detectors, the background increases by a factor 17, from a level of 5 when the T0 chopper is phased to a level of 85 when the T0 chopper is dephased by 30 </w:t>
      </w:r>
      <w:r w:rsidR="000942C3">
        <w:sym w:font="Symbol" w:char="F06D"/>
      </w:r>
      <w:r w:rsidR="000942C3">
        <w:t xml:space="preserve">s. At the beginning of the frame, in the energy transfer range 800-1000 meV, the background increases by a factor 2.7, from a level of 1.1 when the T0 chopper is phased, to a level of 3.0 when the T0 chopper is dephased by 30 </w:t>
      </w:r>
      <w:r w:rsidR="000942C3">
        <w:sym w:font="Symbol" w:char="F06D"/>
      </w:r>
      <w:r w:rsidR="000942C3">
        <w:t xml:space="preserve">s. </w:t>
      </w:r>
      <w:r w:rsidR="002C70D5">
        <w:t>Finally,</w:t>
      </w:r>
      <w:r w:rsidR="00D63B22">
        <w:t xml:space="preserve"> </w:t>
      </w:r>
      <w:r w:rsidR="002C70D5">
        <w:t>i</w:t>
      </w:r>
      <w:r w:rsidR="00D63B22">
        <w:t xml:space="preserve">ntegrating the detected intensity over all detectors and </w:t>
      </w:r>
      <w:r w:rsidR="002C70D5">
        <w:t>over the entire time frame</w:t>
      </w:r>
      <w:r w:rsidR="00D63B22">
        <w:t xml:space="preserve">, </w:t>
      </w:r>
      <w:r w:rsidR="00B2221D">
        <w:t xml:space="preserve">the total count is increased by a factor of 80, from a count of 700 when the T0 chopper is phased, to a count of 56000 when the T0 chopper is dephased by 30 </w:t>
      </w:r>
      <w:r w:rsidR="00B2221D">
        <w:sym w:font="Symbol" w:char="F06D"/>
      </w:r>
      <w:r w:rsidR="00B2221D">
        <w:t>s. Note that these catastrophic degradation</w:t>
      </w:r>
      <w:r w:rsidR="002C70D5">
        <w:t>s</w:t>
      </w:r>
      <w:r w:rsidR="00B2221D">
        <w:t xml:space="preserve"> of the background are occurring when the T0 chopper is dephased by 30 </w:t>
      </w:r>
      <w:r w:rsidR="00B2221D">
        <w:sym w:font="Symbol" w:char="F06D"/>
      </w:r>
      <w:r w:rsidR="00B2221D">
        <w:t>s: the background increase would be worse if the T0 chopper was to be parked open. Note also that having the T0 chopper fully dephased – or parked open – is considered an emergency issue at SNS and will cause a shutdown of the beamline.</w:t>
      </w:r>
    </w:p>
    <w:p w14:paraId="462A27D6" w14:textId="77777777" w:rsidR="00317590" w:rsidRDefault="00FA6F2C" w:rsidP="00F73526">
      <w:pPr>
        <w:jc w:val="both"/>
      </w:pPr>
      <w:r>
        <w:t>Because</w:t>
      </w:r>
      <w:r w:rsidR="005C3A78">
        <w:t xml:space="preserve"> ESS will have </w:t>
      </w:r>
      <w:r>
        <w:t xml:space="preserve">a long pulse and </w:t>
      </w:r>
      <w:r w:rsidR="005C3A78">
        <w:t>significantly larger source power than existing MW spallation facilities</w:t>
      </w:r>
      <w:r w:rsidR="00072E42">
        <w:t>,</w:t>
      </w:r>
      <w:r w:rsidR="005C3A78">
        <w:t xml:space="preserve"> the background issues due to high energy neutrons can be expected to be significantly worse.</w:t>
      </w:r>
      <w:r w:rsidR="00B2221D">
        <w:t xml:space="preserve"> In the absence of T0 chopper, the elastic line and the high energy region of the spectra, </w:t>
      </w:r>
      <w:r w:rsidR="002C70D5">
        <w:t>corresponding to the</w:t>
      </w:r>
      <w:r w:rsidR="00B3653B">
        <w:t xml:space="preserve"> TOF range 0-10 ms, are expected to be unusable.</w:t>
      </w:r>
    </w:p>
    <w:p w14:paraId="5A471EAC" w14:textId="77777777" w:rsidR="00FB17CB" w:rsidRDefault="009750A7" w:rsidP="005B3118">
      <w:pPr>
        <w:jc w:val="both"/>
      </w:pPr>
      <w:r>
        <w:t>Assuming that the SNR target of 10</w:t>
      </w:r>
      <w:r w:rsidRPr="009750A7">
        <w:rPr>
          <w:vertAlign w:val="superscript"/>
        </w:rPr>
        <w:t>-4</w:t>
      </w:r>
      <w:r>
        <w:t xml:space="preserve"> with the T0 chopper can be achieved on VESPA, a FOM can be established based on a multiplication factor </w:t>
      </w:r>
      <w:r w:rsidRPr="009750A7">
        <w:rPr>
          <w:i/>
        </w:rPr>
        <w:t>M</w:t>
      </w:r>
      <w:r>
        <w:t xml:space="preserve"> which represents the probable background increase</w:t>
      </w:r>
      <w:r w:rsidR="00751E4C">
        <w:t xml:space="preserve"> depending on the presence (</w:t>
      </w:r>
      <w:r w:rsidR="00751E4C" w:rsidRPr="00751E4C">
        <w:rPr>
          <w:i/>
        </w:rPr>
        <w:t>M</w:t>
      </w:r>
      <w:r w:rsidR="00751E4C">
        <w:t xml:space="preserve"> = 1) or absence (</w:t>
      </w:r>
      <w:r w:rsidR="00751E4C" w:rsidRPr="00751E4C">
        <w:rPr>
          <w:i/>
        </w:rPr>
        <w:t>M</w:t>
      </w:r>
      <w:r w:rsidR="00751E4C">
        <w:t xml:space="preserve"> = 5) of the T0 chopper.</w:t>
      </w:r>
    </w:p>
    <w:p w14:paraId="757095D5" w14:textId="77777777" w:rsidR="00751E4C" w:rsidRDefault="00751E4C" w:rsidP="005B3118">
      <w:pPr>
        <w:jc w:val="both"/>
      </w:pPr>
      <m:oMathPara>
        <m:oMath>
          <m:r>
            <m:rPr>
              <m:sty m:val="p"/>
            </m:rPr>
            <w:rPr>
              <w:rFonts w:ascii="Cambria Math" w:hAnsi="Cambria Math"/>
            </w:rPr>
            <m:t>FOM[SNR]</m:t>
          </m:r>
          <m:r>
            <w:rPr>
              <w:rFonts w:ascii="Cambria Math" w:hAnsi="Cambria Math"/>
            </w:rPr>
            <m:t xml:space="preserve">= </m:t>
          </m:r>
          <m:f>
            <m:fPr>
              <m:ctrlPr>
                <w:rPr>
                  <w:rFonts w:ascii="Cambria Math" w:hAnsi="Cambria Math"/>
                  <w:i/>
                </w:rPr>
              </m:ctrlPr>
            </m:fPr>
            <m:num>
              <m:r>
                <m:rPr>
                  <m:sty m:val="p"/>
                </m:rPr>
                <w:rPr>
                  <w:rFonts w:ascii="Cambria Math" w:hAnsi="Cambria Math"/>
                </w:rPr>
                <m:t>FOM[DI]</m:t>
              </m:r>
            </m:num>
            <m:den>
              <m:r>
                <m:rPr>
                  <m:sty m:val="p"/>
                </m:rPr>
                <w:rPr>
                  <w:rFonts w:ascii="Cambria Math" w:hAnsi="Cambria Math"/>
                </w:rPr>
                <m:t>SNR</m:t>
              </m:r>
              <m:r>
                <w:rPr>
                  <w:rFonts w:ascii="Cambria Math" w:hAnsi="Cambria Math"/>
                </w:rPr>
                <m:t>∙M</m:t>
              </m:r>
            </m:den>
          </m:f>
        </m:oMath>
      </m:oMathPara>
    </w:p>
    <w:p w14:paraId="7B30F50D" w14:textId="77777777" w:rsidR="004A31D9" w:rsidRPr="004A31D9" w:rsidRDefault="004A31D9" w:rsidP="004A31D9"/>
    <w:p w14:paraId="2035EA7C" w14:textId="77777777" w:rsidR="00211CDC" w:rsidRDefault="0088672E" w:rsidP="00211CDC">
      <w:pPr>
        <w:pStyle w:val="Heading1"/>
      </w:pPr>
      <w:bookmarkStart w:id="7" w:name="_Toc171669164"/>
      <w:r>
        <w:t xml:space="preserve">Added scope: </w:t>
      </w:r>
      <w:r w:rsidR="00F869A7">
        <w:t>spectroscopy</w:t>
      </w:r>
      <w:r w:rsidR="00B261E7">
        <w:t xml:space="preserve"> MODULES</w:t>
      </w:r>
      <w:bookmarkEnd w:id="7"/>
    </w:p>
    <w:p w14:paraId="4F716D24" w14:textId="77777777" w:rsidR="00211CDC" w:rsidRDefault="00B261E7" w:rsidP="00B261E7">
      <w:pPr>
        <w:pStyle w:val="Heading2"/>
      </w:pPr>
      <w:bookmarkStart w:id="8" w:name="_Toc171669165"/>
      <w:r>
        <w:t>Description</w:t>
      </w:r>
      <w:r w:rsidR="000B2178">
        <w:t xml:space="preserve"> &amp; cost</w:t>
      </w:r>
      <w:r w:rsidR="00775653">
        <w:t>ing</w:t>
      </w:r>
      <w:bookmarkEnd w:id="8"/>
    </w:p>
    <w:p w14:paraId="4D74CC9A" w14:textId="77777777" w:rsidR="00F869A7" w:rsidRDefault="00F869A7" w:rsidP="00F869A7">
      <w:pPr>
        <w:jc w:val="both"/>
      </w:pPr>
      <w:r>
        <w:t>Each spectroscopy module of VESPA is constituted of:</w:t>
      </w:r>
    </w:p>
    <w:p w14:paraId="14DA1793" w14:textId="77777777" w:rsidR="00F869A7" w:rsidRDefault="00F869A7" w:rsidP="00F869A7">
      <w:pPr>
        <w:pStyle w:val="ListParagraph"/>
        <w:numPr>
          <w:ilvl w:val="0"/>
          <w:numId w:val="22"/>
        </w:numPr>
        <w:jc w:val="both"/>
      </w:pPr>
      <w:r w:rsidRPr="00F869A7">
        <w:rPr>
          <w:u w:val="single"/>
        </w:rPr>
        <w:t>Analyser</w:t>
      </w:r>
      <w:r>
        <w:t xml:space="preserve">. One analyser backplate in Al, precisely machined, coated in </w:t>
      </w:r>
      <w:r w:rsidRPr="00F869A7">
        <w:rPr>
          <w:vertAlign w:val="superscript"/>
        </w:rPr>
        <w:t>10</w:t>
      </w:r>
      <w:r>
        <w:t>B. 660 highly-oriented pyrolytic graphite (HOPG) tiles (considering a 10% rejection rate), of dimension 12</w:t>
      </w:r>
      <w:r>
        <w:sym w:font="Symbol" w:char="F0B4"/>
      </w:r>
      <w:r>
        <w:t>12</w:t>
      </w:r>
      <w:r>
        <w:sym w:font="Symbol" w:char="F0B4"/>
      </w:r>
      <w:r>
        <w:t xml:space="preserve">2 mm, </w:t>
      </w:r>
      <w:r w:rsidRPr="00E92B63">
        <w:t>with 3</w:t>
      </w:r>
      <w:r w:rsidRPr="00E92B63">
        <w:sym w:font="Symbol" w:char="F0B1"/>
      </w:r>
      <w:r w:rsidRPr="00E92B63">
        <w:t xml:space="preserve">2° mosaicity, and with their back coated in </w:t>
      </w:r>
      <w:r w:rsidRPr="00E92B63">
        <w:rPr>
          <w:vertAlign w:val="superscript"/>
        </w:rPr>
        <w:t>10</w:t>
      </w:r>
      <w:r w:rsidRPr="00E92B63">
        <w:t xml:space="preserve">B. The cost estimate for one analyser is </w:t>
      </w:r>
      <w:r w:rsidR="00E92B63" w:rsidRPr="00E92B63">
        <w:t>6</w:t>
      </w:r>
      <w:r w:rsidR="00A7510A" w:rsidRPr="00E92B63">
        <w:t>0</w:t>
      </w:r>
      <w:r w:rsidRPr="00E92B63">
        <w:t xml:space="preserve"> kEUR.</w:t>
      </w:r>
    </w:p>
    <w:p w14:paraId="0DC71DE6" w14:textId="77777777" w:rsidR="00F869A7" w:rsidRDefault="00F869A7" w:rsidP="00F869A7">
      <w:pPr>
        <w:pStyle w:val="ListParagraph"/>
        <w:ind w:left="720"/>
        <w:jc w:val="both"/>
      </w:pPr>
    </w:p>
    <w:p w14:paraId="2AD2BC93" w14:textId="77777777" w:rsidR="00F869A7" w:rsidRDefault="00F869A7" w:rsidP="00F869A7">
      <w:pPr>
        <w:pStyle w:val="ListParagraph"/>
        <w:numPr>
          <w:ilvl w:val="0"/>
          <w:numId w:val="22"/>
        </w:numPr>
        <w:jc w:val="both"/>
      </w:pPr>
      <w:r w:rsidRPr="00F869A7">
        <w:rPr>
          <w:u w:val="single"/>
        </w:rPr>
        <w:t>Filter</w:t>
      </w:r>
      <w:r>
        <w:t>. One beryllium filter with complex shape, constituted of 14 kg of beryllium (S-200-FH, I-70-H or O-30-H from Materion), sliced into 10 wedges with the inner faces polished, and with 0.7 mm thick cadmium sheets intercalated between the beryllium wedges. One thermally-conductive clamping frame for the beryllium filter, with Al radiative shields on the neutron facing sides and neutron-absorbing materials on the other external sides. The cost estimate for one filter is</w:t>
      </w:r>
      <w:r w:rsidR="008B5185">
        <w:t xml:space="preserve"> </w:t>
      </w:r>
      <w:r w:rsidR="00E92B63">
        <w:t>175</w:t>
      </w:r>
      <w:r w:rsidR="00D12D5D">
        <w:t xml:space="preserve"> kEUR</w:t>
      </w:r>
      <w:r>
        <w:t>.</w:t>
      </w:r>
    </w:p>
    <w:p w14:paraId="719919D5" w14:textId="77777777" w:rsidR="00F869A7" w:rsidRDefault="00F869A7" w:rsidP="00F869A7">
      <w:pPr>
        <w:pStyle w:val="ListParagraph"/>
        <w:ind w:left="720"/>
        <w:jc w:val="both"/>
      </w:pPr>
    </w:p>
    <w:p w14:paraId="1980F6B1" w14:textId="77777777" w:rsidR="00F869A7" w:rsidRDefault="00F869A7" w:rsidP="00F869A7">
      <w:pPr>
        <w:pStyle w:val="ListParagraph"/>
        <w:numPr>
          <w:ilvl w:val="0"/>
          <w:numId w:val="22"/>
        </w:numPr>
        <w:jc w:val="both"/>
      </w:pPr>
      <w:r w:rsidRPr="00F869A7">
        <w:rPr>
          <w:u w:val="single"/>
        </w:rPr>
        <w:lastRenderedPageBreak/>
        <w:t>Cooling</w:t>
      </w:r>
      <w:r>
        <w:t>. One (or half) closed cycle He cryocooler (CCR) to cool the beryllium filters, with copper bellows to connect cryoheads and beryllium filters, cables, gas lines and compressor to operate the CCR. The cost estimate is 30 kEUR.</w:t>
      </w:r>
    </w:p>
    <w:p w14:paraId="0384B6F3" w14:textId="77777777" w:rsidR="00F869A7" w:rsidRDefault="00F869A7" w:rsidP="00F869A7">
      <w:pPr>
        <w:pStyle w:val="ListParagraph"/>
        <w:ind w:left="720"/>
        <w:jc w:val="both"/>
      </w:pPr>
    </w:p>
    <w:p w14:paraId="156B492B" w14:textId="77777777" w:rsidR="00F869A7" w:rsidRDefault="00F869A7" w:rsidP="00F869A7">
      <w:pPr>
        <w:pStyle w:val="ListParagraph"/>
        <w:numPr>
          <w:ilvl w:val="0"/>
          <w:numId w:val="22"/>
        </w:numPr>
        <w:jc w:val="both"/>
      </w:pPr>
      <w:r w:rsidRPr="00F869A7">
        <w:rPr>
          <w:u w:val="single"/>
        </w:rPr>
        <w:t>Detector</w:t>
      </w:r>
      <w:r>
        <w:t xml:space="preserve">. 20 position sensitive detector (PSD) 3He tubes, with 20 bar of </w:t>
      </w:r>
      <w:r w:rsidRPr="00F869A7">
        <w:rPr>
          <w:vertAlign w:val="superscript"/>
        </w:rPr>
        <w:t>3</w:t>
      </w:r>
      <w:r>
        <w:t xml:space="preserve">He, 25 cm long active area and a PSD resolution along the tube of 3 mm, and 20 preamps. One detector cartridge to hold the PSD tubes and their preamps, manage cables, with appropriate backplate shielding. The cost estimate for one cartridge is </w:t>
      </w:r>
      <w:r w:rsidR="00E92B63">
        <w:t>95</w:t>
      </w:r>
      <w:r w:rsidR="00933715" w:rsidRPr="00D12D5D">
        <w:t xml:space="preserve"> kEUR</w:t>
      </w:r>
      <w:r w:rsidRPr="00D12D5D">
        <w:t>.</w:t>
      </w:r>
    </w:p>
    <w:p w14:paraId="4FE2B5A3" w14:textId="77777777" w:rsidR="00F869A7" w:rsidRDefault="00F869A7" w:rsidP="00F869A7">
      <w:pPr>
        <w:pStyle w:val="ListParagraph"/>
        <w:ind w:left="720"/>
        <w:jc w:val="both"/>
      </w:pPr>
    </w:p>
    <w:p w14:paraId="475EFED6" w14:textId="77777777" w:rsidR="006A5944" w:rsidRDefault="00F869A7" w:rsidP="00F869A7">
      <w:pPr>
        <w:jc w:val="both"/>
      </w:pPr>
      <w:r>
        <w:t xml:space="preserve">The total cost estimate for one spectroscopy module, including the analyser, the beryllium filter and its CCR, and the detector cartridge, is </w:t>
      </w:r>
      <w:r w:rsidRPr="00E92B63">
        <w:t>then 360 kEUR</w:t>
      </w:r>
      <w:r>
        <w:t xml:space="preserve">. For the 10 missing modules, the total is then </w:t>
      </w:r>
      <w:r w:rsidRPr="00E92B63">
        <w:t>3.6 MEUR.</w:t>
      </w:r>
    </w:p>
    <w:p w14:paraId="226342AB" w14:textId="77777777" w:rsidR="00F869A7" w:rsidRDefault="00F869A7" w:rsidP="00F869A7">
      <w:pPr>
        <w:jc w:val="both"/>
      </w:pPr>
    </w:p>
    <w:p w14:paraId="55015550" w14:textId="77777777" w:rsidR="00B261E7" w:rsidRDefault="0010524A" w:rsidP="00B261E7">
      <w:pPr>
        <w:pStyle w:val="Heading2"/>
      </w:pPr>
      <w:bookmarkStart w:id="9" w:name="_Toc171669166"/>
      <w:r>
        <w:t>Instrument performance</w:t>
      </w:r>
      <w:bookmarkEnd w:id="9"/>
    </w:p>
    <w:p w14:paraId="2F32CAEF" w14:textId="77777777" w:rsidR="000F53B4" w:rsidRDefault="000A7836" w:rsidP="000F53B4">
      <w:pPr>
        <w:jc w:val="both"/>
      </w:pPr>
      <w:r>
        <w:t xml:space="preserve">The FOM[DI] metrics, normalised to the completed VESPA in high-flux (HF) setting and with 2.0 MW source power, are reported in </w:t>
      </w:r>
      <w:r w:rsidR="000930B5">
        <w:fldChar w:fldCharType="begin"/>
      </w:r>
      <w:r w:rsidR="000930B5">
        <w:instrText xml:space="preserve"> REF _Ref170995281 \h </w:instrText>
      </w:r>
      <w:r w:rsidR="000F53B4">
        <w:instrText xml:space="preserve"> \* MERGEFORMAT </w:instrText>
      </w:r>
      <w:r w:rsidR="000930B5">
        <w:fldChar w:fldCharType="separate"/>
      </w:r>
      <w:r w:rsidR="000930B5">
        <w:t xml:space="preserve">Figure </w:t>
      </w:r>
      <w:r w:rsidR="000930B5">
        <w:rPr>
          <w:noProof/>
        </w:rPr>
        <w:t>1</w:t>
      </w:r>
      <w:r w:rsidR="000930B5">
        <w:fldChar w:fldCharType="end"/>
      </w:r>
      <w:r>
        <w:t>.</w:t>
      </w:r>
      <w:r w:rsidR="00331CFE">
        <w:t xml:space="preserve"> </w:t>
      </w:r>
      <w:r w:rsidR="00592DE2">
        <w:t xml:space="preserve">The day 1 performance of a descoped VESPA with reduced source power are only 11% of that of the complete instrument at nominal power. </w:t>
      </w:r>
      <w:r w:rsidR="000F53B4">
        <w:t xml:space="preserve">In the fingerprint region, the high-flux setting of a descoped </w:t>
      </w:r>
      <w:r w:rsidR="0014710B">
        <w:t>VESPA</w:t>
      </w:r>
      <w:r w:rsidR="000F53B4">
        <w:t xml:space="preserve"> has comparable performance to those of VISION, while the high-resolution setting, which has an energy resolution comparable to that of VISION, has about 3 times less flux. </w:t>
      </w:r>
      <w:r w:rsidR="00592DE2">
        <w:t xml:space="preserve">Rescoping the instrument by </w:t>
      </w:r>
      <w:r w:rsidR="000F53B4">
        <w:t xml:space="preserve">fully </w:t>
      </w:r>
      <w:r w:rsidR="00592DE2">
        <w:t>completing the spectroscopy bank</w:t>
      </w:r>
      <w:r w:rsidR="000F53B4">
        <w:t>s</w:t>
      </w:r>
      <w:r w:rsidR="00592DE2">
        <w:t xml:space="preserve"> corresponds to a gain of 3.5 in detected intensity and makes the high-resolution setting on par with VISION. </w:t>
      </w:r>
      <w:r w:rsidR="000F53B4">
        <w:t xml:space="preserve">Note that </w:t>
      </w:r>
      <w:r w:rsidR="005950D3">
        <w:t>both a fully rescoped instrument and the 2.0 MW source power are required to provide a significant improvement in flux compared to existing instrument</w:t>
      </w:r>
      <w:r w:rsidR="00D60F22">
        <w:t>.</w:t>
      </w:r>
    </w:p>
    <w:p w14:paraId="4AA009BE" w14:textId="77777777" w:rsidR="000A7836" w:rsidRPr="000A7836" w:rsidRDefault="000F53B4" w:rsidP="000F53B4">
      <w:pPr>
        <w:jc w:val="both"/>
      </w:pPr>
      <w:r>
        <w:t xml:space="preserve">In the low energy range, because of the large cold neutron brightness of ESS, even a descoped </w:t>
      </w:r>
      <w:r w:rsidR="005950D3">
        <w:t>VESPA</w:t>
      </w:r>
      <w:r>
        <w:t xml:space="preserve"> in high-resolution mode </w:t>
      </w:r>
      <w:r w:rsidR="005950D3">
        <w:t>has comparable performance to those of</w:t>
      </w:r>
      <w:r>
        <w:t xml:space="preserve"> the existing NVS instruments. </w:t>
      </w:r>
    </w:p>
    <w:p w14:paraId="78A28C78" w14:textId="77777777" w:rsidR="000A7836" w:rsidRDefault="005514CD" w:rsidP="000A7836">
      <w:pPr>
        <w:keepNext/>
      </w:pPr>
      <w:r>
        <w:rPr>
          <w:noProof/>
        </w:rPr>
        <w:lastRenderedPageBreak/>
        <w:drawing>
          <wp:inline distT="0" distB="0" distL="0" distR="0" wp14:anchorId="3E79883A" wp14:editId="576BE257">
            <wp:extent cx="6124575" cy="511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6124575" cy="5114408"/>
                    </a:xfrm>
                    <a:prstGeom prst="rect">
                      <a:avLst/>
                    </a:prstGeom>
                    <a:noFill/>
                    <a:ln>
                      <a:noFill/>
                    </a:ln>
                  </pic:spPr>
                </pic:pic>
              </a:graphicData>
            </a:graphic>
          </wp:inline>
        </w:drawing>
      </w:r>
    </w:p>
    <w:p w14:paraId="0EF3DE9E" w14:textId="77777777" w:rsidR="005514CD" w:rsidRDefault="000A7836" w:rsidP="000A7836">
      <w:pPr>
        <w:pStyle w:val="Caption"/>
      </w:pPr>
      <w:bookmarkStart w:id="10" w:name="_Ref170995281"/>
      <w:r>
        <w:t xml:space="preserve">Figure </w:t>
      </w:r>
      <w:r>
        <w:fldChar w:fldCharType="begin"/>
      </w:r>
      <w:r>
        <w:instrText xml:space="preserve"> SEQ Figure \* ARABIC </w:instrText>
      </w:r>
      <w:r>
        <w:fldChar w:fldCharType="separate"/>
      </w:r>
      <w:r w:rsidR="00CB7CCE">
        <w:rPr>
          <w:noProof/>
        </w:rPr>
        <w:t>1</w:t>
      </w:r>
      <w:r>
        <w:fldChar w:fldCharType="end"/>
      </w:r>
      <w:bookmarkEnd w:id="10"/>
      <w:r>
        <w:t xml:space="preserve"> – </w:t>
      </w:r>
      <w:r w:rsidR="000930B5">
        <w:t xml:space="preserve">Normalised FOM[DI] of VESPA and other NVS </w:t>
      </w:r>
      <w:r w:rsidR="0088297B">
        <w:t>instruments</w:t>
      </w:r>
      <w:r w:rsidR="000930B5">
        <w:t>, for (a) the fingerprint region of the spectra and (b) at low-energy.</w:t>
      </w:r>
    </w:p>
    <w:p w14:paraId="3CB01303" w14:textId="77777777" w:rsidR="005950D3" w:rsidRDefault="005950D3" w:rsidP="005950D3"/>
    <w:p w14:paraId="49D63C19" w14:textId="77777777" w:rsidR="005514CD" w:rsidRDefault="005514CD" w:rsidP="005514CD">
      <w:pPr>
        <w:pStyle w:val="Heading2"/>
      </w:pPr>
      <w:bookmarkStart w:id="11" w:name="_Toc171669167"/>
      <w:r>
        <w:t>Cost-benefit evaluation</w:t>
      </w:r>
      <w:bookmarkEnd w:id="11"/>
    </w:p>
    <w:p w14:paraId="3ACC5509" w14:textId="77777777" w:rsidR="005950D3" w:rsidRDefault="00923A90" w:rsidP="00F31160">
      <w:pPr>
        <w:jc w:val="both"/>
      </w:pPr>
      <w:r>
        <w:t xml:space="preserve">Considering a cost of 360 kEUR per spectroscopy module, </w:t>
      </w:r>
      <w:r w:rsidR="00F31160">
        <w:t xml:space="preserve">a cost-performance relationship for a staged rescoping can be established, shown in </w:t>
      </w:r>
      <w:r w:rsidR="00F31160">
        <w:fldChar w:fldCharType="begin"/>
      </w:r>
      <w:r w:rsidR="00F31160">
        <w:instrText xml:space="preserve"> REF _Ref170998390 \h  \* MERGEFORMAT </w:instrText>
      </w:r>
      <w:r w:rsidR="00F31160">
        <w:fldChar w:fldCharType="separate"/>
      </w:r>
      <w:r w:rsidR="00F31160">
        <w:t xml:space="preserve">Figure </w:t>
      </w:r>
      <w:r w:rsidR="00F31160">
        <w:rPr>
          <w:noProof/>
        </w:rPr>
        <w:t>2</w:t>
      </w:r>
      <w:r w:rsidR="00F31160">
        <w:fldChar w:fldCharType="end"/>
      </w:r>
      <w:r w:rsidR="00F31160">
        <w:t xml:space="preserve">. A minimum of 3 additional spectroscopy modules, for a total of 7 modules out of 14, have to be added to match the performance of the upcoming TOSCA+ instrument. </w:t>
      </w:r>
      <w:r w:rsidR="00633E5D">
        <w:t>Fully rescoping the spectroscopy modules of VESPA lead to a gain factor in intensity, in high-flux setting, of 32 over TOSCA, 1.9 over TOSCA+, 3.7 over VISION at 1.4 MW, and 2.6 over VISION at 2.0 MW.</w:t>
      </w:r>
    </w:p>
    <w:p w14:paraId="4BE71ED3" w14:textId="77777777" w:rsidR="00745A71" w:rsidRPr="005950D3" w:rsidRDefault="00031173" w:rsidP="00F31160">
      <w:pPr>
        <w:jc w:val="both"/>
      </w:pPr>
      <w:r>
        <w:t xml:space="preserve">Each additional spectroscopy module is a 25% increase in flux compared to the day 1 scope, at the cost of </w:t>
      </w:r>
      <w:r w:rsidR="008A5076">
        <w:t>0.</w:t>
      </w:r>
      <w:r>
        <w:t xml:space="preserve">36 </w:t>
      </w:r>
      <w:r w:rsidR="008A5076">
        <w:t>M</w:t>
      </w:r>
      <w:r>
        <w:t xml:space="preserve">EUR, which is a </w:t>
      </w:r>
      <w:r w:rsidR="00AB0E5A">
        <w:t>rat</w:t>
      </w:r>
      <w:r w:rsidR="008A5076">
        <w:t>io</w:t>
      </w:r>
      <w:r>
        <w:t xml:space="preserve"> of </w:t>
      </w:r>
      <w:r w:rsidR="008A5076">
        <w:t>0.25/0.36 = 0.</w:t>
      </w:r>
      <w:r>
        <w:t xml:space="preserve">694 </w:t>
      </w:r>
      <w:r w:rsidR="008A5076">
        <w:t>per MEUR</w:t>
      </w:r>
      <w:r>
        <w:t>.</w:t>
      </w:r>
    </w:p>
    <w:p w14:paraId="7C965559" w14:textId="77777777" w:rsidR="00F31160" w:rsidRDefault="005514CD" w:rsidP="00F31160">
      <w:pPr>
        <w:keepNext/>
      </w:pPr>
      <w:r>
        <w:rPr>
          <w:noProof/>
        </w:rPr>
        <w:lastRenderedPageBreak/>
        <w:drawing>
          <wp:inline distT="0" distB="0" distL="0" distR="0" wp14:anchorId="60D706E2" wp14:editId="342FFFCB">
            <wp:extent cx="6115860" cy="315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tretch>
                      <a:fillRect/>
                    </a:stretch>
                  </pic:blipFill>
                  <pic:spPr bwMode="auto">
                    <a:xfrm>
                      <a:off x="0" y="0"/>
                      <a:ext cx="6115860" cy="3152775"/>
                    </a:xfrm>
                    <a:prstGeom prst="rect">
                      <a:avLst/>
                    </a:prstGeom>
                    <a:noFill/>
                    <a:ln>
                      <a:noFill/>
                    </a:ln>
                  </pic:spPr>
                </pic:pic>
              </a:graphicData>
            </a:graphic>
          </wp:inline>
        </w:drawing>
      </w:r>
    </w:p>
    <w:p w14:paraId="2E552939" w14:textId="77777777" w:rsidR="005514CD" w:rsidRDefault="00F31160" w:rsidP="00CB2DFF">
      <w:pPr>
        <w:pStyle w:val="Caption"/>
      </w:pPr>
      <w:bookmarkStart w:id="12" w:name="_Ref170998390"/>
      <w:r>
        <w:t xml:space="preserve">Figure </w:t>
      </w:r>
      <w:r>
        <w:fldChar w:fldCharType="begin"/>
      </w:r>
      <w:r>
        <w:instrText xml:space="preserve"> SEQ Figure \* ARABIC </w:instrText>
      </w:r>
      <w:r>
        <w:fldChar w:fldCharType="separate"/>
      </w:r>
      <w:r w:rsidR="00CB7CCE">
        <w:rPr>
          <w:noProof/>
        </w:rPr>
        <w:t>2</w:t>
      </w:r>
      <w:r>
        <w:fldChar w:fldCharType="end"/>
      </w:r>
      <w:bookmarkEnd w:id="12"/>
      <w:r>
        <w:t xml:space="preserve"> – Dependency between the normalised FOM[DI] and the rescoping cost</w:t>
      </w:r>
      <w:r w:rsidR="00CB2DFF">
        <w:t xml:space="preserve"> upon the addition of spectroscopy modules.</w:t>
      </w:r>
    </w:p>
    <w:p w14:paraId="141B4D25" w14:textId="77777777" w:rsidR="00CB2DFF" w:rsidRPr="00CB2DFF" w:rsidRDefault="00CB2DFF" w:rsidP="00CB2DFF"/>
    <w:p w14:paraId="766B4B52" w14:textId="77777777" w:rsidR="0088672E" w:rsidRDefault="0088672E" w:rsidP="0088672E">
      <w:pPr>
        <w:pStyle w:val="Heading1"/>
      </w:pPr>
      <w:bookmarkStart w:id="13" w:name="_Toc171669168"/>
      <w:r>
        <w:t>Added scope: T0 chopper</w:t>
      </w:r>
      <w:bookmarkEnd w:id="13"/>
    </w:p>
    <w:p w14:paraId="0D35828D" w14:textId="77777777" w:rsidR="0088672E" w:rsidRDefault="0088672E" w:rsidP="0088672E">
      <w:pPr>
        <w:pStyle w:val="Heading2"/>
      </w:pPr>
      <w:bookmarkStart w:id="14" w:name="_Toc171669169"/>
      <w:r>
        <w:t>Description &amp; costing</w:t>
      </w:r>
      <w:bookmarkEnd w:id="14"/>
    </w:p>
    <w:p w14:paraId="58DE1524" w14:textId="77777777" w:rsidR="00D2624E" w:rsidRDefault="00D2624E" w:rsidP="00D2624E">
      <w:pPr>
        <w:jc w:val="both"/>
      </w:pPr>
      <w:r w:rsidRPr="00D2624E">
        <w:t xml:space="preserve">Located downstream of the bunker wall, between 15 and 18 m (exact position TBC), with a total length window-to-window of ca. 32 cm and a frequency of 28 Hz, the T0 chopper has the function to decrease background and thus improve the signal-to-noise ratio of the instrument. The cost estimate from the ESS chopper group, under the assumption that we are using </w:t>
      </w:r>
      <w:r w:rsidR="006B30DB">
        <w:t>the</w:t>
      </w:r>
      <w:r w:rsidRPr="00D2624E">
        <w:t xml:space="preserve"> existing T0 chopper design</w:t>
      </w:r>
      <w:r w:rsidR="006B30DB">
        <w:t xml:space="preserve"> of ODIN </w:t>
      </w:r>
      <w:r w:rsidR="00AB0E5A" w:rsidRPr="00AB0E5A">
        <w:rPr>
          <w:highlight w:val="green"/>
        </w:rPr>
        <w:t>[</w:t>
      </w:r>
      <w:r w:rsidR="00AB0E5A">
        <w:rPr>
          <w:highlight w:val="green"/>
        </w:rPr>
        <w:t>6</w:t>
      </w:r>
      <w:r w:rsidR="00AB0E5A" w:rsidRPr="00AB0E5A">
        <w:rPr>
          <w:highlight w:val="green"/>
        </w:rPr>
        <w:t>]</w:t>
      </w:r>
      <w:r w:rsidR="00AB0E5A">
        <w:t xml:space="preserve"> </w:t>
      </w:r>
      <w:r w:rsidR="006B30DB">
        <w:t>or HEIMDAL</w:t>
      </w:r>
      <w:r w:rsidRPr="00D2624E">
        <w:t xml:space="preserve"> </w:t>
      </w:r>
      <w:r w:rsidR="002500FB" w:rsidRPr="002500FB">
        <w:rPr>
          <w:highlight w:val="green"/>
        </w:rPr>
        <w:t>[7]</w:t>
      </w:r>
      <w:r w:rsidR="002500FB">
        <w:t xml:space="preserve"> </w:t>
      </w:r>
      <w:r w:rsidRPr="00D2624E">
        <w:t>(i.e. without development cost) is 850 kEUR.</w:t>
      </w:r>
    </w:p>
    <w:p w14:paraId="5ADDEF93" w14:textId="77777777" w:rsidR="0088672E" w:rsidRDefault="0088672E" w:rsidP="0088672E">
      <w:pPr>
        <w:pStyle w:val="Heading2"/>
      </w:pPr>
      <w:bookmarkStart w:id="15" w:name="_Toc171669170"/>
      <w:r>
        <w:t>Cost-benefit evaluation</w:t>
      </w:r>
      <w:bookmarkEnd w:id="15"/>
    </w:p>
    <w:p w14:paraId="0F3CD104" w14:textId="77777777" w:rsidR="00CB7CCE" w:rsidRDefault="00404CD1" w:rsidP="00404CD1">
      <w:pPr>
        <w:jc w:val="both"/>
      </w:pPr>
      <w:r>
        <w:t xml:space="preserve">The cost benefit relationship of a stage rescoping, when considering the SNR, is shown in </w:t>
      </w:r>
      <w:r>
        <w:fldChar w:fldCharType="begin"/>
      </w:r>
      <w:r>
        <w:instrText xml:space="preserve"> REF _Ref171000934 \h  \* MERGEFORMAT </w:instrText>
      </w:r>
      <w:r>
        <w:fldChar w:fldCharType="separate"/>
      </w:r>
      <w:r>
        <w:t xml:space="preserve">Figure </w:t>
      </w:r>
      <w:r>
        <w:rPr>
          <w:noProof/>
        </w:rPr>
        <w:t>3</w:t>
      </w:r>
      <w:r>
        <w:fldChar w:fldCharType="end"/>
      </w:r>
      <w:r>
        <w:t>, where the T0 chopper is the first component to be added, followed by the spectroscopy modules. This figure is based on the hypothesis that a SNR of 10</w:t>
      </w:r>
      <w:r w:rsidRPr="00404CD1">
        <w:rPr>
          <w:vertAlign w:val="superscript"/>
        </w:rPr>
        <w:t>-4</w:t>
      </w:r>
      <w:r>
        <w:t xml:space="preserve"> can be achieved with the T0 chopper, and that the absence of </w:t>
      </w:r>
      <w:r w:rsidR="00065D53">
        <w:t xml:space="preserve">the </w:t>
      </w:r>
      <w:r>
        <w:t xml:space="preserve">T0 chopper degrades the SNR by a factor </w:t>
      </w:r>
      <w:r w:rsidR="008A5076" w:rsidRPr="008A5076">
        <w:rPr>
          <w:i/>
        </w:rPr>
        <w:t>M</w:t>
      </w:r>
      <w:r w:rsidR="008A5076">
        <w:t xml:space="preserve"> = </w:t>
      </w:r>
      <w:r>
        <w:t xml:space="preserve">5. </w:t>
      </w:r>
    </w:p>
    <w:p w14:paraId="2B2B4E89" w14:textId="77777777" w:rsidR="002164AE" w:rsidRDefault="002164AE" w:rsidP="00404CD1">
      <w:pPr>
        <w:jc w:val="both"/>
      </w:pPr>
      <w:r>
        <w:t xml:space="preserve">The addition of the T0 module is thus a 400% increase of the FOM compared to the day 1 scope, at the cost of </w:t>
      </w:r>
      <w:r w:rsidR="008A5076">
        <w:t>0.</w:t>
      </w:r>
      <w:r>
        <w:t xml:space="preserve">85 </w:t>
      </w:r>
      <w:r w:rsidR="008A5076">
        <w:t>M</w:t>
      </w:r>
      <w:r>
        <w:t>EUR, which is a rat</w:t>
      </w:r>
      <w:r w:rsidR="008A5076">
        <w:t>io</w:t>
      </w:r>
      <w:r>
        <w:t xml:space="preserve"> of </w:t>
      </w:r>
      <w:r w:rsidR="008A5076">
        <w:t xml:space="preserve">4/0.85 = </w:t>
      </w:r>
      <w:r>
        <w:t xml:space="preserve">4.7 </w:t>
      </w:r>
      <w:r w:rsidR="008A5076">
        <w:t>per M</w:t>
      </w:r>
      <w:r>
        <w:t xml:space="preserve">EUR. </w:t>
      </w:r>
      <w:r w:rsidR="00CB4D61">
        <w:t>I</w:t>
      </w:r>
      <w:r>
        <w:t>t is thus evident that it is more efficient to improve the performance of the instrument to first add the T0 chopper and then complete the spectroscopy bank. The threshold at which the spectroscopy modules become more cost-effective than the T0 chopper</w:t>
      </w:r>
      <w:r w:rsidR="00E96BA5">
        <w:t>, under the same assumption that a SNR of 10</w:t>
      </w:r>
      <w:r w:rsidR="00E96BA5" w:rsidRPr="002164AE">
        <w:rPr>
          <w:vertAlign w:val="superscript"/>
        </w:rPr>
        <w:t>-4</w:t>
      </w:r>
      <w:r w:rsidR="00E96BA5">
        <w:t xml:space="preserve"> can be achieved,</w:t>
      </w:r>
      <w:r>
        <w:t xml:space="preserve"> is </w:t>
      </w:r>
      <w:r w:rsidRPr="002164AE">
        <w:rPr>
          <w:i/>
        </w:rPr>
        <w:t>M</w:t>
      </w:r>
      <w:r>
        <w:t xml:space="preserve"> = 1.59</w:t>
      </w:r>
      <w:r w:rsidR="008A5076">
        <w:t xml:space="preserve"> (a 59% increase in background).</w:t>
      </w:r>
      <w:r w:rsidR="00E96BA5">
        <w:t xml:space="preserve"> Practically, if the </w:t>
      </w:r>
      <w:r w:rsidR="00B3653B">
        <w:t>absence</w:t>
      </w:r>
      <w:r w:rsidR="00E96BA5">
        <w:t xml:space="preserve"> of T0 chopper leads to </w:t>
      </w:r>
      <w:r w:rsidR="008A5076">
        <w:t>a</w:t>
      </w:r>
      <w:r w:rsidR="00E96BA5">
        <w:t xml:space="preserve"> degradation of the background level</w:t>
      </w:r>
      <w:r w:rsidR="008A5076">
        <w:t xml:space="preserve"> of </w:t>
      </w:r>
      <w:r w:rsidR="00B65748">
        <w:t xml:space="preserve">ca. </w:t>
      </w:r>
      <w:r w:rsidR="00E96BA5">
        <w:t xml:space="preserve">60% </w:t>
      </w:r>
      <w:r w:rsidR="008A5076">
        <w:t xml:space="preserve">or more </w:t>
      </w:r>
      <w:r w:rsidR="00E96BA5">
        <w:t xml:space="preserve">– which is probable given the experimental data on instruments from other MW spallation facilities </w:t>
      </w:r>
      <w:r w:rsidR="008A5076">
        <w:t xml:space="preserve">which suggest &gt;400% background increase </w:t>
      </w:r>
      <w:r w:rsidR="00E96BA5">
        <w:t xml:space="preserve">(see section </w:t>
      </w:r>
      <w:r w:rsidR="00E96BA5">
        <w:fldChar w:fldCharType="begin"/>
      </w:r>
      <w:r w:rsidR="00E96BA5">
        <w:instrText xml:space="preserve"> REF _Ref171063592 \r \h </w:instrText>
      </w:r>
      <w:r w:rsidR="00E96BA5">
        <w:fldChar w:fldCharType="separate"/>
      </w:r>
      <w:r w:rsidR="00E96BA5">
        <w:t>3.2</w:t>
      </w:r>
      <w:r w:rsidR="00E96BA5">
        <w:fldChar w:fldCharType="end"/>
      </w:r>
      <w:r w:rsidR="00E96BA5">
        <w:t>) – the T0 chopper is the most critical added scope to improve the instrument performance.</w:t>
      </w:r>
    </w:p>
    <w:p w14:paraId="3770AD92" w14:textId="77777777" w:rsidR="00404CD1" w:rsidRPr="00CB7CCE" w:rsidRDefault="00404CD1" w:rsidP="00404CD1">
      <w:pPr>
        <w:jc w:val="both"/>
      </w:pPr>
    </w:p>
    <w:p w14:paraId="78BF7EAC" w14:textId="77777777" w:rsidR="00CB7CCE" w:rsidRDefault="0088672E" w:rsidP="00CB7CCE">
      <w:pPr>
        <w:keepNext/>
      </w:pPr>
      <w:r>
        <w:rPr>
          <w:noProof/>
        </w:rPr>
        <w:lastRenderedPageBreak/>
        <w:drawing>
          <wp:inline distT="0" distB="0" distL="0" distR="0" wp14:anchorId="3074D39B" wp14:editId="0CE6B861">
            <wp:extent cx="6054718" cy="3105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tretch>
                      <a:fillRect/>
                    </a:stretch>
                  </pic:blipFill>
                  <pic:spPr bwMode="auto">
                    <a:xfrm>
                      <a:off x="0" y="0"/>
                      <a:ext cx="6054718" cy="3105150"/>
                    </a:xfrm>
                    <a:prstGeom prst="rect">
                      <a:avLst/>
                    </a:prstGeom>
                    <a:noFill/>
                    <a:ln>
                      <a:noFill/>
                    </a:ln>
                  </pic:spPr>
                </pic:pic>
              </a:graphicData>
            </a:graphic>
          </wp:inline>
        </w:drawing>
      </w:r>
    </w:p>
    <w:p w14:paraId="656B7502" w14:textId="77777777" w:rsidR="0088672E" w:rsidRPr="0088672E" w:rsidRDefault="00CB7CCE" w:rsidP="00CB7CCE">
      <w:pPr>
        <w:pStyle w:val="Caption"/>
      </w:pPr>
      <w:bookmarkStart w:id="16" w:name="_Ref171000934"/>
      <w:r>
        <w:t xml:space="preserve">Figure </w:t>
      </w:r>
      <w:r>
        <w:fldChar w:fldCharType="begin"/>
      </w:r>
      <w:r>
        <w:instrText xml:space="preserve"> SEQ Figure \* ARABIC </w:instrText>
      </w:r>
      <w:r>
        <w:fldChar w:fldCharType="separate"/>
      </w:r>
      <w:r>
        <w:rPr>
          <w:noProof/>
        </w:rPr>
        <w:t>3</w:t>
      </w:r>
      <w:r>
        <w:fldChar w:fldCharType="end"/>
      </w:r>
      <w:bookmarkEnd w:id="16"/>
      <w:r>
        <w:t xml:space="preserve"> – Dependency between the normalised FOM[SNR] and the rescoping cost</w:t>
      </w:r>
      <w:r w:rsidR="00404CD1">
        <w:t>. The first added scope is the T0 chopper, followed by the 10 spectroscopy modules.</w:t>
      </w:r>
    </w:p>
    <w:p w14:paraId="6674B68D" w14:textId="77777777" w:rsidR="0088672E" w:rsidRDefault="0088672E" w:rsidP="0088672E"/>
    <w:p w14:paraId="268C1D7C" w14:textId="77777777" w:rsidR="00995335" w:rsidRDefault="00995335" w:rsidP="00995335">
      <w:pPr>
        <w:pStyle w:val="Heading1"/>
      </w:pPr>
      <w:bookmarkStart w:id="17" w:name="_Toc171669171"/>
      <w:r>
        <w:t>Added scope: diffraction panels</w:t>
      </w:r>
      <w:bookmarkEnd w:id="17"/>
    </w:p>
    <w:p w14:paraId="6853E4DA" w14:textId="77777777" w:rsidR="00995335" w:rsidRDefault="00995335" w:rsidP="00995335">
      <w:pPr>
        <w:jc w:val="both"/>
      </w:pPr>
      <w:r w:rsidRPr="00995335">
        <w:t>The day</w:t>
      </w:r>
      <w:r>
        <w:t xml:space="preserve"> </w:t>
      </w:r>
      <w:r w:rsidRPr="00995335">
        <w:t>1 scope of VESPA only includes 2 of the 6 lateral diffraction panels. The 4 missing panels have a dimension of 200</w:t>
      </w:r>
      <w:r w:rsidR="00CB4D61">
        <w:t xml:space="preserve"> </w:t>
      </w:r>
      <w:r>
        <w:sym w:font="Symbol" w:char="F0B4"/>
      </w:r>
      <w:r w:rsidR="00CB4D61">
        <w:t xml:space="preserve"> </w:t>
      </w:r>
      <w:r w:rsidRPr="00995335">
        <w:t>400 mm</w:t>
      </w:r>
      <w:r w:rsidRPr="00995335">
        <w:rPr>
          <w:vertAlign w:val="superscript"/>
        </w:rPr>
        <w:t>2</w:t>
      </w:r>
      <w:r w:rsidRPr="00995335">
        <w:t xml:space="preserve">. If using </w:t>
      </w:r>
      <w:r w:rsidRPr="00995335">
        <w:rPr>
          <w:vertAlign w:val="superscript"/>
        </w:rPr>
        <w:t>3</w:t>
      </w:r>
      <w:r w:rsidRPr="00995335">
        <w:t xml:space="preserve">He tubes as currently considered, each panel would require 25 PSD tubes with 40 cm active length. Including the preamps and cables, the cost estimate is 140 kEUR per panel. For the 4 panels, the total is 560 kEUR. A redesign with a different detector technology, such as </w:t>
      </w:r>
      <w:r w:rsidRPr="00995335">
        <w:rPr>
          <w:vertAlign w:val="superscript"/>
        </w:rPr>
        <w:t>10</w:t>
      </w:r>
      <w:r w:rsidRPr="00995335">
        <w:t xml:space="preserve">B CDT </w:t>
      </w:r>
      <w:r>
        <w:t xml:space="preserve">multi-wire chamber as exploited on </w:t>
      </w:r>
      <w:r w:rsidR="00A32B20">
        <w:t xml:space="preserve">ESS diffractometers </w:t>
      </w:r>
      <w:r w:rsidR="00A32B20" w:rsidRPr="00A32B20">
        <w:rPr>
          <w:highlight w:val="green"/>
        </w:rPr>
        <w:t>[8]</w:t>
      </w:r>
      <w:r w:rsidR="00A32B20">
        <w:t xml:space="preserve"> </w:t>
      </w:r>
      <w:r w:rsidRPr="00995335">
        <w:t xml:space="preserve">or </w:t>
      </w:r>
      <w:r w:rsidR="00A32B20">
        <w:t xml:space="preserve">scintillation detector such as </w:t>
      </w:r>
      <w:r w:rsidRPr="00995335">
        <w:t>wavelength-shifting fibre</w:t>
      </w:r>
      <w:r w:rsidR="00A32B20">
        <w:t xml:space="preserve"> </w:t>
      </w:r>
      <w:r w:rsidR="00A32B20" w:rsidRPr="00A32B20">
        <w:rPr>
          <w:highlight w:val="green"/>
        </w:rPr>
        <w:t>[9]</w:t>
      </w:r>
      <w:r w:rsidRPr="00995335">
        <w:t>, could significantly decrease the cost of the panels.</w:t>
      </w:r>
    </w:p>
    <w:p w14:paraId="757F71FC" w14:textId="77777777" w:rsidR="00995335" w:rsidRDefault="00725A92" w:rsidP="00995335">
      <w:pPr>
        <w:jc w:val="both"/>
      </w:pPr>
      <w:r>
        <w:t>As the diffraction capabilities are secondary compared to the spectroscopic capabilities</w:t>
      </w:r>
      <w:r w:rsidR="00826BCF">
        <w:t xml:space="preserve"> of VESPA</w:t>
      </w:r>
      <w:r>
        <w:t xml:space="preserve">, completing the diffraction banks has lower priority than the </w:t>
      </w:r>
      <w:r w:rsidR="00826BCF">
        <w:t xml:space="preserve">adding the </w:t>
      </w:r>
      <w:r>
        <w:t>T0 chopper and the spectroscopy modules.</w:t>
      </w:r>
    </w:p>
    <w:p w14:paraId="3544B4E0" w14:textId="77777777" w:rsidR="00725A92" w:rsidRPr="00995335" w:rsidRDefault="00725A92" w:rsidP="00995335">
      <w:pPr>
        <w:jc w:val="both"/>
      </w:pPr>
    </w:p>
    <w:p w14:paraId="27DBD79C" w14:textId="77777777" w:rsidR="00211CDC" w:rsidRDefault="00211CDC" w:rsidP="00211CDC">
      <w:pPr>
        <w:pStyle w:val="Heading1"/>
      </w:pPr>
      <w:bookmarkStart w:id="18" w:name="_Toc171669172"/>
      <w:r>
        <w:t>CONCLUSIONS AND RECOMMENDATIONS</w:t>
      </w:r>
      <w:bookmarkEnd w:id="18"/>
    </w:p>
    <w:p w14:paraId="37EB342B" w14:textId="77777777" w:rsidR="00B6075A" w:rsidRDefault="00B6075A" w:rsidP="00B6075A">
      <w:pPr>
        <w:jc w:val="both"/>
      </w:pPr>
      <w:r>
        <w:t>The added scope to complete VESPA includes, by order of scientific priorities to maximise the impact of the instrument and insure i</w:t>
      </w:r>
      <w:r w:rsidR="009B19B3">
        <w:t>ts</w:t>
      </w:r>
      <w:r>
        <w:t xml:space="preserve"> competitiveness, (1) the addition of a T0 chopper, (2) the addition of 10 spectroscopy modules, and (3) the addition of 4 diffraction panels.</w:t>
      </w:r>
    </w:p>
    <w:p w14:paraId="553D2DD0" w14:textId="77777777" w:rsidR="003C2A84" w:rsidRDefault="003C2A84" w:rsidP="00B6075A">
      <w:pPr>
        <w:jc w:val="both"/>
      </w:pPr>
      <w:r>
        <w:t>We emphasise</w:t>
      </w:r>
      <w:r w:rsidR="00D72E26">
        <w:t xml:space="preserve"> that the addition of the T0 chopper has </w:t>
      </w:r>
      <w:r>
        <w:t>the</w:t>
      </w:r>
      <w:r w:rsidR="00D72E26">
        <w:t xml:space="preserve"> high</w:t>
      </w:r>
      <w:r>
        <w:t>est</w:t>
      </w:r>
      <w:r w:rsidR="00D72E26">
        <w:t xml:space="preserve"> priority. </w:t>
      </w:r>
      <w:r w:rsidR="00366EE8">
        <w:t>Besides</w:t>
      </w:r>
      <w:r w:rsidR="00D72E26">
        <w:t xml:space="preserve"> the better benefit-to-cost ratio of the T0 chopper</w:t>
      </w:r>
      <w:r>
        <w:t xml:space="preserve"> in terms of instrument performance</w:t>
      </w:r>
      <w:r w:rsidR="00D72E26">
        <w:t xml:space="preserve">, there </w:t>
      </w:r>
      <w:r w:rsidR="00366EE8">
        <w:t xml:space="preserve">is a practical </w:t>
      </w:r>
      <w:r w:rsidR="00D72E26">
        <w:t xml:space="preserve">aspect motivating this prioritisation. </w:t>
      </w:r>
      <w:r w:rsidR="00366EE8">
        <w:t xml:space="preserve">Indeed, a reduced flux (from the incomplete spectroscopy banks) can be compensated by longer counting times. This means that, even if the impact of VESPA is limited on day 1 by its descoping and the reduced source power, </w:t>
      </w:r>
      <w:r w:rsidR="0003664D">
        <w:t xml:space="preserve">challenging </w:t>
      </w:r>
      <w:r w:rsidR="00366EE8">
        <w:t>experiments can be performed and data with outstanding quality can be recorded</w:t>
      </w:r>
      <w:r>
        <w:t xml:space="preserve">, even if a limited number of experiments can be </w:t>
      </w:r>
      <w:r>
        <w:lastRenderedPageBreak/>
        <w:t>supported</w:t>
      </w:r>
      <w:r w:rsidR="00366EE8">
        <w:t xml:space="preserve">. Conversely, if the SNR level is degraded </w:t>
      </w:r>
      <w:r>
        <w:t xml:space="preserve">beyond what is available at other facilities </w:t>
      </w:r>
      <w:r w:rsidR="00366EE8">
        <w:t>because of the absence of a T0 chopper, there is nothing that we can do about it</w:t>
      </w:r>
      <w:r>
        <w:t>, and VESPA will be unable to support challenging experiments, which would be catastrophic for its impact and its reputation.</w:t>
      </w:r>
    </w:p>
    <w:p w14:paraId="27135663" w14:textId="77777777" w:rsidR="00273B28" w:rsidRDefault="00B6075A" w:rsidP="009B19B3">
      <w:pPr>
        <w:jc w:val="both"/>
      </w:pPr>
      <w:r>
        <w:t xml:space="preserve">If a staged rescoping is necessary based on financial constraints, the minimum added scope </w:t>
      </w:r>
      <w:r w:rsidR="00EB5DDF">
        <w:t>to ensure that</w:t>
      </w:r>
      <w:r>
        <w:t xml:space="preserve"> VESPA is state-of-the-art at the start of its user program is the addition of the T0 chopper and at least 3 additional spectroscopy modules (</w:t>
      </w:r>
      <w:r w:rsidR="00EB5DDF">
        <w:t xml:space="preserve">for a total of 7 out of 14). Note that both a fully rescoped instrument and the nominal 2.0 MW source power of ESS are required to provide a significant improvement in flux compared to existing instrument, thus pushing the technique capabilities </w:t>
      </w:r>
      <w:r w:rsidR="009B19B3">
        <w:t>and enabling new science.</w:t>
      </w:r>
    </w:p>
    <w:p w14:paraId="2BE5D4EE" w14:textId="77777777" w:rsidR="00273B28" w:rsidRDefault="00273B28" w:rsidP="009B19B3">
      <w:pPr>
        <w:jc w:val="both"/>
      </w:pPr>
    </w:p>
    <w:p w14:paraId="2B267472" w14:textId="77777777" w:rsidR="00C11E3A" w:rsidRPr="00B414C7" w:rsidRDefault="006C57A2" w:rsidP="00667243">
      <w:pPr>
        <w:pStyle w:val="Heading1"/>
      </w:pPr>
      <w:bookmarkStart w:id="19" w:name="_Toc30500567"/>
      <w:bookmarkStart w:id="20" w:name="_Toc171669173"/>
      <w:r w:rsidRPr="00B414C7">
        <w:t>Glossary</w:t>
      </w:r>
      <w:bookmarkEnd w:id="19"/>
      <w:bookmarkEnd w:id="20"/>
    </w:p>
    <w:tbl>
      <w:tblPr>
        <w:tblW w:w="5000" w:type="pct"/>
        <w:tblLook w:val="0000" w:firstRow="0" w:lastRow="0" w:firstColumn="0" w:lastColumn="0" w:noHBand="0" w:noVBand="0"/>
      </w:tblPr>
      <w:tblGrid>
        <w:gridCol w:w="2574"/>
        <w:gridCol w:w="7065"/>
      </w:tblGrid>
      <w:tr w:rsidR="006C57A2" w:rsidRPr="00B414C7" w14:paraId="51E2075F" w14:textId="77777777" w:rsidTr="008204CD">
        <w:trPr>
          <w:cantSplit/>
          <w:tblHeader/>
        </w:trPr>
        <w:tc>
          <w:tcPr>
            <w:tcW w:w="1335" w:type="pct"/>
            <w:tcBorders>
              <w:top w:val="single" w:sz="12" w:space="0" w:color="auto"/>
              <w:bottom w:val="single" w:sz="6" w:space="0" w:color="auto"/>
            </w:tcBorders>
            <w:shd w:val="clear" w:color="auto" w:fill="auto"/>
          </w:tcPr>
          <w:p w14:paraId="7D4E05EA" w14:textId="77777777" w:rsidR="006C57A2" w:rsidRPr="00B414C7" w:rsidRDefault="006C57A2" w:rsidP="00592EC6">
            <w:pPr>
              <w:pStyle w:val="ESS-TableHeader"/>
            </w:pPr>
            <w:r w:rsidRPr="00B414C7">
              <w:t>Term</w:t>
            </w:r>
          </w:p>
        </w:tc>
        <w:tc>
          <w:tcPr>
            <w:tcW w:w="3665" w:type="pct"/>
            <w:tcBorders>
              <w:top w:val="single" w:sz="12" w:space="0" w:color="auto"/>
              <w:bottom w:val="single" w:sz="6" w:space="0" w:color="auto"/>
            </w:tcBorders>
            <w:shd w:val="clear" w:color="auto" w:fill="auto"/>
          </w:tcPr>
          <w:p w14:paraId="3545CD4E" w14:textId="77777777" w:rsidR="006C57A2" w:rsidRPr="00B414C7" w:rsidRDefault="006C57A2" w:rsidP="00592EC6">
            <w:pPr>
              <w:pStyle w:val="ESS-TableHeader"/>
            </w:pPr>
            <w:r w:rsidRPr="00B414C7">
              <w:t>Definition</w:t>
            </w:r>
          </w:p>
        </w:tc>
      </w:tr>
      <w:tr w:rsidR="006C57A2" w:rsidRPr="00B414C7" w14:paraId="74DAFED5" w14:textId="77777777" w:rsidTr="008204CD">
        <w:trPr>
          <w:cantSplit/>
          <w:tblHeader/>
        </w:trPr>
        <w:tc>
          <w:tcPr>
            <w:tcW w:w="1335" w:type="pct"/>
            <w:tcBorders>
              <w:top w:val="single" w:sz="6" w:space="0" w:color="auto"/>
            </w:tcBorders>
            <w:shd w:val="clear" w:color="auto" w:fill="auto"/>
          </w:tcPr>
          <w:p w14:paraId="67419FC6" w14:textId="77777777" w:rsidR="006C57A2" w:rsidRPr="00B414C7" w:rsidRDefault="00F73526" w:rsidP="008E155D">
            <w:pPr>
              <w:pStyle w:val="ESS-TableText"/>
            </w:pPr>
            <w:r>
              <w:t>BTCS</w:t>
            </w:r>
          </w:p>
        </w:tc>
        <w:tc>
          <w:tcPr>
            <w:tcW w:w="3665" w:type="pct"/>
            <w:tcBorders>
              <w:top w:val="single" w:sz="6" w:space="0" w:color="auto"/>
            </w:tcBorders>
            <w:shd w:val="clear" w:color="auto" w:fill="auto"/>
          </w:tcPr>
          <w:p w14:paraId="5B9B6E15" w14:textId="77777777" w:rsidR="006C57A2" w:rsidRPr="00B414C7" w:rsidRDefault="00C45182" w:rsidP="008E155D">
            <w:pPr>
              <w:pStyle w:val="ESS-TableText"/>
            </w:pPr>
            <w:r>
              <w:t>Beam transport and conditioning system</w:t>
            </w:r>
          </w:p>
        </w:tc>
      </w:tr>
      <w:tr w:rsidR="006C57A2" w:rsidRPr="00B414C7" w14:paraId="3C67D029" w14:textId="77777777" w:rsidTr="008204CD">
        <w:trPr>
          <w:cantSplit/>
        </w:trPr>
        <w:tc>
          <w:tcPr>
            <w:tcW w:w="1335" w:type="pct"/>
            <w:shd w:val="clear" w:color="auto" w:fill="auto"/>
          </w:tcPr>
          <w:p w14:paraId="106F1E1A" w14:textId="77777777" w:rsidR="006C57A2" w:rsidRPr="00B414C7" w:rsidRDefault="00F73526" w:rsidP="008E155D">
            <w:pPr>
              <w:pStyle w:val="ESS-TableText"/>
            </w:pPr>
            <w:r>
              <w:t>PSC</w:t>
            </w:r>
          </w:p>
        </w:tc>
        <w:tc>
          <w:tcPr>
            <w:tcW w:w="3665" w:type="pct"/>
            <w:shd w:val="clear" w:color="auto" w:fill="auto"/>
          </w:tcPr>
          <w:p w14:paraId="11E29481" w14:textId="77777777" w:rsidR="006C57A2" w:rsidRPr="00B414C7" w:rsidRDefault="00C45182" w:rsidP="008E155D">
            <w:pPr>
              <w:pStyle w:val="ESS-TableText"/>
            </w:pPr>
            <w:r>
              <w:t>Pulse-shaping chopper</w:t>
            </w:r>
          </w:p>
        </w:tc>
      </w:tr>
      <w:tr w:rsidR="00F73526" w:rsidRPr="00B414C7" w14:paraId="43C12BA4" w14:textId="77777777" w:rsidTr="008204CD">
        <w:trPr>
          <w:cantSplit/>
        </w:trPr>
        <w:tc>
          <w:tcPr>
            <w:tcW w:w="1335" w:type="pct"/>
            <w:shd w:val="clear" w:color="auto" w:fill="auto"/>
          </w:tcPr>
          <w:p w14:paraId="75A990AE" w14:textId="77777777" w:rsidR="00F73526" w:rsidRDefault="00F73526" w:rsidP="008E155D">
            <w:pPr>
              <w:pStyle w:val="ESS-TableText"/>
            </w:pPr>
            <w:r>
              <w:t>FOC</w:t>
            </w:r>
          </w:p>
        </w:tc>
        <w:tc>
          <w:tcPr>
            <w:tcW w:w="3665" w:type="pct"/>
            <w:shd w:val="clear" w:color="auto" w:fill="auto"/>
          </w:tcPr>
          <w:p w14:paraId="0520509C" w14:textId="77777777" w:rsidR="00F73526" w:rsidRPr="00B414C7" w:rsidRDefault="00C45182" w:rsidP="008E155D">
            <w:pPr>
              <w:pStyle w:val="ESS-TableText"/>
            </w:pPr>
            <w:r>
              <w:t>Frame-overlap chopper</w:t>
            </w:r>
          </w:p>
        </w:tc>
      </w:tr>
      <w:tr w:rsidR="006C57A2" w:rsidRPr="00B414C7" w14:paraId="6A51F49E" w14:textId="77777777" w:rsidTr="00F73526">
        <w:trPr>
          <w:cantSplit/>
        </w:trPr>
        <w:tc>
          <w:tcPr>
            <w:tcW w:w="1335" w:type="pct"/>
            <w:shd w:val="clear" w:color="auto" w:fill="auto"/>
          </w:tcPr>
          <w:p w14:paraId="64B40A8B" w14:textId="77777777" w:rsidR="006C57A2" w:rsidRPr="00B414C7" w:rsidRDefault="00F73526" w:rsidP="008E155D">
            <w:pPr>
              <w:pStyle w:val="ESS-TableText"/>
            </w:pPr>
            <w:r>
              <w:t>sFOC</w:t>
            </w:r>
          </w:p>
        </w:tc>
        <w:tc>
          <w:tcPr>
            <w:tcW w:w="3665" w:type="pct"/>
            <w:shd w:val="clear" w:color="auto" w:fill="auto"/>
          </w:tcPr>
          <w:p w14:paraId="6A0559C6" w14:textId="77777777" w:rsidR="006C57A2" w:rsidRPr="00B414C7" w:rsidRDefault="00C45182" w:rsidP="008E155D">
            <w:pPr>
              <w:pStyle w:val="ESS-TableText"/>
            </w:pPr>
            <w:r>
              <w:t>Subframe-overlap chopper</w:t>
            </w:r>
          </w:p>
        </w:tc>
      </w:tr>
      <w:tr w:rsidR="00F73526" w:rsidRPr="00B414C7" w14:paraId="5AE77F67" w14:textId="77777777" w:rsidTr="00F73526">
        <w:trPr>
          <w:cantSplit/>
        </w:trPr>
        <w:tc>
          <w:tcPr>
            <w:tcW w:w="1335" w:type="pct"/>
            <w:shd w:val="clear" w:color="auto" w:fill="auto"/>
          </w:tcPr>
          <w:p w14:paraId="65223C9E" w14:textId="77777777" w:rsidR="00F73526" w:rsidRDefault="00F73526" w:rsidP="008E155D">
            <w:pPr>
              <w:pStyle w:val="ESS-TableText"/>
            </w:pPr>
            <w:r>
              <w:t>SNR</w:t>
            </w:r>
          </w:p>
        </w:tc>
        <w:tc>
          <w:tcPr>
            <w:tcW w:w="3665" w:type="pct"/>
            <w:shd w:val="clear" w:color="auto" w:fill="auto"/>
          </w:tcPr>
          <w:p w14:paraId="6D7C76D3" w14:textId="77777777" w:rsidR="00F73526" w:rsidRPr="00B414C7" w:rsidRDefault="00C45182" w:rsidP="008E155D">
            <w:pPr>
              <w:pStyle w:val="ESS-TableText"/>
            </w:pPr>
            <w:r>
              <w:t>Signal-to-noise ratio</w:t>
            </w:r>
          </w:p>
        </w:tc>
      </w:tr>
      <w:tr w:rsidR="00F73526" w:rsidRPr="00B414C7" w14:paraId="0127D4AB" w14:textId="77777777" w:rsidTr="00F73526">
        <w:trPr>
          <w:cantSplit/>
        </w:trPr>
        <w:tc>
          <w:tcPr>
            <w:tcW w:w="1335" w:type="pct"/>
            <w:shd w:val="clear" w:color="auto" w:fill="auto"/>
          </w:tcPr>
          <w:p w14:paraId="7E0F6AE8" w14:textId="77777777" w:rsidR="00F73526" w:rsidRDefault="00F73526" w:rsidP="008E155D">
            <w:pPr>
              <w:pStyle w:val="ESS-TableText"/>
            </w:pPr>
            <w:r>
              <w:t>FOM</w:t>
            </w:r>
          </w:p>
        </w:tc>
        <w:tc>
          <w:tcPr>
            <w:tcW w:w="3665" w:type="pct"/>
            <w:shd w:val="clear" w:color="auto" w:fill="auto"/>
          </w:tcPr>
          <w:p w14:paraId="308533FA" w14:textId="77777777" w:rsidR="00F73526" w:rsidRPr="00B414C7" w:rsidRDefault="00C45182" w:rsidP="008E155D">
            <w:pPr>
              <w:pStyle w:val="ESS-TableText"/>
            </w:pPr>
            <w:r>
              <w:t>Figure of merit</w:t>
            </w:r>
          </w:p>
        </w:tc>
      </w:tr>
      <w:tr w:rsidR="00F73526" w:rsidRPr="00B414C7" w14:paraId="24CEFD42" w14:textId="77777777" w:rsidTr="008204CD">
        <w:trPr>
          <w:cantSplit/>
        </w:trPr>
        <w:tc>
          <w:tcPr>
            <w:tcW w:w="1335" w:type="pct"/>
            <w:tcBorders>
              <w:bottom w:val="single" w:sz="12" w:space="0" w:color="auto"/>
            </w:tcBorders>
            <w:shd w:val="clear" w:color="auto" w:fill="auto"/>
          </w:tcPr>
          <w:p w14:paraId="7016453D" w14:textId="77777777" w:rsidR="00F73526" w:rsidRDefault="00F73526" w:rsidP="008E155D">
            <w:pPr>
              <w:pStyle w:val="ESS-TableText"/>
            </w:pPr>
          </w:p>
        </w:tc>
        <w:tc>
          <w:tcPr>
            <w:tcW w:w="3665" w:type="pct"/>
            <w:tcBorders>
              <w:bottom w:val="single" w:sz="12" w:space="0" w:color="auto"/>
            </w:tcBorders>
            <w:shd w:val="clear" w:color="auto" w:fill="auto"/>
          </w:tcPr>
          <w:p w14:paraId="216B19F1" w14:textId="77777777" w:rsidR="00F73526" w:rsidRPr="00B414C7" w:rsidRDefault="00F73526" w:rsidP="008E155D">
            <w:pPr>
              <w:pStyle w:val="ESS-TableText"/>
            </w:pPr>
          </w:p>
        </w:tc>
      </w:tr>
    </w:tbl>
    <w:p w14:paraId="33D68420" w14:textId="77777777" w:rsidR="00590145" w:rsidRDefault="00590145" w:rsidP="005457E2"/>
    <w:p w14:paraId="47978D7A" w14:textId="77777777" w:rsidR="00590145" w:rsidRPr="00B414C7" w:rsidRDefault="00590145" w:rsidP="00667243">
      <w:pPr>
        <w:pStyle w:val="Heading1"/>
      </w:pPr>
      <w:bookmarkStart w:id="21" w:name="_Toc30500568"/>
      <w:bookmarkStart w:id="22" w:name="_Toc171669174"/>
      <w:r w:rsidRPr="00B414C7">
        <w:t>references</w:t>
      </w:r>
      <w:bookmarkEnd w:id="21"/>
      <w:bookmarkEnd w:id="22"/>
    </w:p>
    <w:p w14:paraId="1C1B5099" w14:textId="77777777" w:rsidR="00497AC2" w:rsidRDefault="00497AC2" w:rsidP="00AB0E5A">
      <w:pPr>
        <w:pStyle w:val="ListParagraph"/>
        <w:numPr>
          <w:ilvl w:val="0"/>
          <w:numId w:val="23"/>
        </w:numPr>
      </w:pPr>
      <w:r>
        <w:t>ESS-5392752 VESPA chopper system</w:t>
      </w:r>
    </w:p>
    <w:p w14:paraId="5EEFB7CD" w14:textId="77777777" w:rsidR="004A1CFC" w:rsidRDefault="004A1CFC" w:rsidP="00AB0E5A">
      <w:pPr>
        <w:pStyle w:val="ListParagraph"/>
        <w:numPr>
          <w:ilvl w:val="0"/>
          <w:numId w:val="23"/>
        </w:numPr>
      </w:pPr>
      <w:r>
        <w:t xml:space="preserve">M. Zanetti et al., </w:t>
      </w:r>
      <w:r w:rsidRPr="004A1CFC">
        <w:rPr>
          <w:i/>
        </w:rPr>
        <w:t>Physica</w:t>
      </w:r>
      <w:r>
        <w:t xml:space="preserve"> </w:t>
      </w:r>
      <w:r w:rsidRPr="004A1CFC">
        <w:rPr>
          <w:i/>
        </w:rPr>
        <w:t>B</w:t>
      </w:r>
      <w:r>
        <w:t xml:space="preserve"> </w:t>
      </w:r>
      <w:r w:rsidRPr="004A1CFC">
        <w:rPr>
          <w:b/>
        </w:rPr>
        <w:t>562</w:t>
      </w:r>
      <w:r>
        <w:t xml:space="preserve"> (2019) 107-111</w:t>
      </w:r>
    </w:p>
    <w:p w14:paraId="2D6B127C" w14:textId="77777777" w:rsidR="004A1CFC" w:rsidRDefault="00AB0E5A" w:rsidP="00AB0E5A">
      <w:pPr>
        <w:pStyle w:val="ListParagraph"/>
        <w:numPr>
          <w:ilvl w:val="0"/>
          <w:numId w:val="23"/>
        </w:numPr>
      </w:pPr>
      <w:r>
        <w:t xml:space="preserve">A. </w:t>
      </w:r>
      <w:r w:rsidR="004A1CFC">
        <w:t xml:space="preserve">Perrichon et al., </w:t>
      </w:r>
      <w:r w:rsidR="004A1CFC" w:rsidRPr="004A1CFC">
        <w:rPr>
          <w:i/>
        </w:rPr>
        <w:t>NIMA</w:t>
      </w:r>
      <w:r w:rsidR="004A1CFC">
        <w:t xml:space="preserve"> </w:t>
      </w:r>
      <w:r w:rsidR="004A1CFC" w:rsidRPr="004A1CFC">
        <w:rPr>
          <w:b/>
        </w:rPr>
        <w:t>1047</w:t>
      </w:r>
      <w:r w:rsidR="004A1CFC">
        <w:t xml:space="preserve"> (2023) 167899</w:t>
      </w:r>
    </w:p>
    <w:p w14:paraId="7FB0DECF" w14:textId="77777777" w:rsidR="009750A7" w:rsidRDefault="009750A7" w:rsidP="00AB0E5A">
      <w:pPr>
        <w:pStyle w:val="ListParagraph"/>
        <w:numPr>
          <w:ilvl w:val="0"/>
          <w:numId w:val="23"/>
        </w:numPr>
      </w:pPr>
      <w:r>
        <w:t>Private communication with Luke Daemen, instrument scientist of VISION</w:t>
      </w:r>
    </w:p>
    <w:p w14:paraId="3F609B24" w14:textId="77777777" w:rsidR="004A1CFC" w:rsidRDefault="004A1CFC" w:rsidP="00AB0E5A">
      <w:pPr>
        <w:pStyle w:val="ListParagraph"/>
        <w:numPr>
          <w:ilvl w:val="0"/>
          <w:numId w:val="23"/>
        </w:numPr>
      </w:pPr>
      <w:r>
        <w:t xml:space="preserve">R. Kajimoto et al., </w:t>
      </w:r>
      <w:r w:rsidRPr="009750A7">
        <w:rPr>
          <w:i/>
        </w:rPr>
        <w:t>J. Phys. Soc. Jpn.</w:t>
      </w:r>
      <w:r>
        <w:t xml:space="preserve"> </w:t>
      </w:r>
      <w:r w:rsidRPr="009750A7">
        <w:rPr>
          <w:b/>
        </w:rPr>
        <w:t>80</w:t>
      </w:r>
      <w:r>
        <w:t xml:space="preserve"> (2011) SB025</w:t>
      </w:r>
    </w:p>
    <w:p w14:paraId="782C9C27" w14:textId="77777777" w:rsidR="00AB0E5A" w:rsidRDefault="002500FB" w:rsidP="00AB0E5A">
      <w:pPr>
        <w:pStyle w:val="ListParagraph"/>
        <w:numPr>
          <w:ilvl w:val="0"/>
          <w:numId w:val="23"/>
        </w:numPr>
      </w:pPr>
      <w:r>
        <w:t>ESS-3920897 Technical specification for ODIN T0 chopper</w:t>
      </w:r>
    </w:p>
    <w:p w14:paraId="626F6978" w14:textId="77777777" w:rsidR="002500FB" w:rsidRDefault="002500FB" w:rsidP="00AB0E5A">
      <w:pPr>
        <w:pStyle w:val="ListParagraph"/>
        <w:numPr>
          <w:ilvl w:val="0"/>
          <w:numId w:val="23"/>
        </w:numPr>
      </w:pPr>
      <w:r>
        <w:t>ESS-4025742 Technical specification for HEIMDAL T0 chopper</w:t>
      </w:r>
    </w:p>
    <w:p w14:paraId="672E109C" w14:textId="77777777" w:rsidR="00A32B20" w:rsidRDefault="00A32B20" w:rsidP="00AB0E5A">
      <w:pPr>
        <w:pStyle w:val="ListParagraph"/>
        <w:numPr>
          <w:ilvl w:val="0"/>
          <w:numId w:val="23"/>
        </w:numPr>
      </w:pPr>
      <w:r>
        <w:t>ESS-4133448 Detector technology report for diffraction instruments DREAM, MAGIC, HEIMDAL</w:t>
      </w:r>
    </w:p>
    <w:p w14:paraId="6D401FB7" w14:textId="77777777" w:rsidR="00A32B20" w:rsidRDefault="00A32B20" w:rsidP="00AB0E5A">
      <w:pPr>
        <w:pStyle w:val="ListParagraph"/>
        <w:numPr>
          <w:ilvl w:val="0"/>
          <w:numId w:val="23"/>
        </w:numPr>
      </w:pPr>
      <w:r>
        <w:t xml:space="preserve">G. Mauri et al., </w:t>
      </w:r>
      <w:r w:rsidRPr="00A32B20">
        <w:rPr>
          <w:i/>
        </w:rPr>
        <w:t>J. Appl. Crystallogr.</w:t>
      </w:r>
      <w:r>
        <w:t xml:space="preserve"> </w:t>
      </w:r>
      <w:r w:rsidRPr="00A32B20">
        <w:rPr>
          <w:b/>
        </w:rPr>
        <w:t>57(3)</w:t>
      </w:r>
      <w:r>
        <w:t xml:space="preserve"> (2024) 690-699</w:t>
      </w:r>
    </w:p>
    <w:p w14:paraId="500D90A9" w14:textId="77777777" w:rsidR="008812EE" w:rsidRDefault="008812EE">
      <w:pPr>
        <w:spacing w:after="0"/>
        <w:rPr>
          <w:rFonts w:eastAsiaTheme="minorHAnsi"/>
          <w:b/>
          <w:caps/>
          <w:sz w:val="26"/>
        </w:rPr>
      </w:pPr>
      <w:bookmarkStart w:id="23" w:name="_Toc30500569"/>
    </w:p>
    <w:p w14:paraId="337393DD" w14:textId="77777777" w:rsidR="00C11E3A" w:rsidRPr="00B414C7" w:rsidRDefault="00C11E3A" w:rsidP="001C7398">
      <w:pPr>
        <w:pStyle w:val="Headingunnumbered"/>
      </w:pPr>
      <w:r w:rsidRPr="00B414C7">
        <w:t>Document Revision history</w:t>
      </w:r>
      <w:bookmarkEnd w:id="23"/>
    </w:p>
    <w:tbl>
      <w:tblPr>
        <w:tblW w:w="5000" w:type="pct"/>
        <w:tblLayout w:type="fixed"/>
        <w:tblCellMar>
          <w:left w:w="70" w:type="dxa"/>
          <w:right w:w="70" w:type="dxa"/>
        </w:tblCellMar>
        <w:tblLook w:val="0000" w:firstRow="0" w:lastRow="0" w:firstColumn="0" w:lastColumn="0" w:noHBand="0" w:noVBand="0"/>
      </w:tblPr>
      <w:tblGrid>
        <w:gridCol w:w="814"/>
        <w:gridCol w:w="4008"/>
        <w:gridCol w:w="3032"/>
        <w:gridCol w:w="1785"/>
      </w:tblGrid>
      <w:tr w:rsidR="00D907E1" w:rsidRPr="00B414C7" w14:paraId="00F04D31" w14:textId="77777777" w:rsidTr="00851C89">
        <w:trPr>
          <w:cantSplit/>
          <w:tblHeader/>
        </w:trPr>
        <w:tc>
          <w:tcPr>
            <w:tcW w:w="422" w:type="pct"/>
            <w:tcBorders>
              <w:top w:val="single" w:sz="12" w:space="0" w:color="auto"/>
              <w:bottom w:val="single" w:sz="6" w:space="0" w:color="auto"/>
            </w:tcBorders>
            <w:shd w:val="clear" w:color="auto" w:fill="auto"/>
          </w:tcPr>
          <w:p w14:paraId="73FC5169" w14:textId="77777777" w:rsidR="009C6F7F" w:rsidRPr="00B414C7" w:rsidRDefault="009C6F7F" w:rsidP="008E155D">
            <w:pPr>
              <w:pStyle w:val="ESS-TableHeader"/>
            </w:pPr>
            <w:r w:rsidRPr="00B414C7">
              <w:t>Revision</w:t>
            </w:r>
          </w:p>
        </w:tc>
        <w:tc>
          <w:tcPr>
            <w:tcW w:w="2079" w:type="pct"/>
            <w:tcBorders>
              <w:top w:val="single" w:sz="12" w:space="0" w:color="auto"/>
              <w:bottom w:val="single" w:sz="6" w:space="0" w:color="auto"/>
            </w:tcBorders>
            <w:shd w:val="clear" w:color="auto" w:fill="auto"/>
          </w:tcPr>
          <w:p w14:paraId="31CC17F7" w14:textId="77777777" w:rsidR="009C6F7F" w:rsidRPr="00B414C7" w:rsidRDefault="009C6F7F" w:rsidP="00592EC6">
            <w:pPr>
              <w:pStyle w:val="ESS-TableHeader"/>
            </w:pPr>
            <w:r w:rsidRPr="00B414C7">
              <w:t>Reason for and description of change</w:t>
            </w:r>
          </w:p>
        </w:tc>
        <w:tc>
          <w:tcPr>
            <w:tcW w:w="1573" w:type="pct"/>
            <w:tcBorders>
              <w:top w:val="single" w:sz="12" w:space="0" w:color="auto"/>
              <w:bottom w:val="single" w:sz="6" w:space="0" w:color="auto"/>
            </w:tcBorders>
          </w:tcPr>
          <w:p w14:paraId="7DC02B14" w14:textId="77777777" w:rsidR="009C6F7F" w:rsidRPr="00B414C7" w:rsidRDefault="009C6F7F" w:rsidP="00592EC6">
            <w:pPr>
              <w:pStyle w:val="ESS-TableHeader"/>
            </w:pPr>
            <w:r w:rsidRPr="00B414C7">
              <w:t>Author</w:t>
            </w:r>
          </w:p>
        </w:tc>
        <w:tc>
          <w:tcPr>
            <w:tcW w:w="927" w:type="pct"/>
            <w:tcBorders>
              <w:top w:val="single" w:sz="12" w:space="0" w:color="auto"/>
              <w:bottom w:val="single" w:sz="6" w:space="0" w:color="auto"/>
            </w:tcBorders>
          </w:tcPr>
          <w:p w14:paraId="5041A1FD" w14:textId="77777777" w:rsidR="009C6F7F" w:rsidRPr="00B414C7" w:rsidRDefault="009C6F7F" w:rsidP="00592EC6">
            <w:pPr>
              <w:pStyle w:val="ESS-TableHeader"/>
            </w:pPr>
            <w:r w:rsidRPr="00B414C7">
              <w:t>Date</w:t>
            </w:r>
          </w:p>
        </w:tc>
      </w:tr>
      <w:tr w:rsidR="00D907E1" w:rsidRPr="00B414C7" w14:paraId="7F5CDE71" w14:textId="77777777" w:rsidTr="00851C89">
        <w:trPr>
          <w:cantSplit/>
        </w:trPr>
        <w:tc>
          <w:tcPr>
            <w:tcW w:w="422" w:type="pct"/>
            <w:tcBorders>
              <w:top w:val="single" w:sz="6" w:space="0" w:color="auto"/>
            </w:tcBorders>
            <w:shd w:val="clear" w:color="auto" w:fill="auto"/>
          </w:tcPr>
          <w:p w14:paraId="1DCE01F5" w14:textId="77777777" w:rsidR="009C6F7F" w:rsidRPr="00B414C7" w:rsidRDefault="009C6F7F" w:rsidP="008E155D">
            <w:pPr>
              <w:pStyle w:val="ESS-TableText"/>
            </w:pPr>
            <w:r w:rsidRPr="00B414C7">
              <w:t>1</w:t>
            </w:r>
          </w:p>
        </w:tc>
        <w:tc>
          <w:tcPr>
            <w:tcW w:w="2079" w:type="pct"/>
            <w:tcBorders>
              <w:top w:val="single" w:sz="6" w:space="0" w:color="auto"/>
            </w:tcBorders>
            <w:shd w:val="clear" w:color="auto" w:fill="auto"/>
          </w:tcPr>
          <w:p w14:paraId="032DCD7B" w14:textId="77777777" w:rsidR="009C6F7F" w:rsidRPr="00B414C7" w:rsidRDefault="009C6F7F" w:rsidP="008E155D">
            <w:pPr>
              <w:pStyle w:val="ESS-TableText"/>
            </w:pPr>
            <w:r w:rsidRPr="00B414C7">
              <w:t>First issue</w:t>
            </w:r>
          </w:p>
        </w:tc>
        <w:tc>
          <w:tcPr>
            <w:tcW w:w="1573" w:type="pct"/>
            <w:tcBorders>
              <w:top w:val="single" w:sz="6" w:space="0" w:color="auto"/>
            </w:tcBorders>
          </w:tcPr>
          <w:p w14:paraId="0F308C84" w14:textId="77777777" w:rsidR="009C6F7F" w:rsidRPr="00B414C7" w:rsidRDefault="004A31D9" w:rsidP="008E155D">
            <w:pPr>
              <w:pStyle w:val="ESS-TableText"/>
            </w:pPr>
            <w:r>
              <w:t>Adrien Perrichon</w:t>
            </w:r>
            <w:r w:rsidR="00851C89">
              <w:t>, Liam Whitelegg, Monika Hartl, Lorenzo Di Fresco, Roberto Senesi</w:t>
            </w:r>
          </w:p>
        </w:tc>
        <w:tc>
          <w:tcPr>
            <w:tcW w:w="927" w:type="pct"/>
            <w:tcBorders>
              <w:top w:val="single" w:sz="6" w:space="0" w:color="auto"/>
            </w:tcBorders>
          </w:tcPr>
          <w:p w14:paraId="548B4EDA" w14:textId="77777777" w:rsidR="009C6F7F" w:rsidRPr="00B414C7" w:rsidRDefault="009B19B3" w:rsidP="008E155D">
            <w:pPr>
              <w:pStyle w:val="ESS-TableText"/>
            </w:pPr>
            <w:r w:rsidRPr="009B19B3">
              <w:t>2024-0</w:t>
            </w:r>
            <w:r w:rsidR="00851C89">
              <w:t>9</w:t>
            </w:r>
            <w:r w:rsidRPr="009B19B3">
              <w:t>-</w:t>
            </w:r>
            <w:r w:rsidR="00C03BAD">
              <w:t>0</w:t>
            </w:r>
            <w:r w:rsidR="00851C89">
              <w:t>2</w:t>
            </w:r>
          </w:p>
        </w:tc>
      </w:tr>
      <w:tr w:rsidR="00D907E1" w:rsidRPr="00B414C7" w14:paraId="01C8A845" w14:textId="77777777" w:rsidTr="00851C89">
        <w:trPr>
          <w:cantSplit/>
        </w:trPr>
        <w:tc>
          <w:tcPr>
            <w:tcW w:w="422" w:type="pct"/>
            <w:shd w:val="clear" w:color="auto" w:fill="auto"/>
          </w:tcPr>
          <w:p w14:paraId="28CE8419" w14:textId="77777777" w:rsidR="009C6F7F" w:rsidRPr="00B414C7" w:rsidRDefault="009C6F7F" w:rsidP="008E155D">
            <w:pPr>
              <w:pStyle w:val="ESS-TableText"/>
            </w:pPr>
          </w:p>
        </w:tc>
        <w:tc>
          <w:tcPr>
            <w:tcW w:w="2079" w:type="pct"/>
            <w:shd w:val="clear" w:color="auto" w:fill="auto"/>
          </w:tcPr>
          <w:p w14:paraId="15AE6DE7" w14:textId="77777777" w:rsidR="009C6F7F" w:rsidRPr="00B414C7" w:rsidRDefault="009C6F7F" w:rsidP="008E155D">
            <w:pPr>
              <w:pStyle w:val="ESS-TableText"/>
            </w:pPr>
          </w:p>
        </w:tc>
        <w:tc>
          <w:tcPr>
            <w:tcW w:w="1573" w:type="pct"/>
          </w:tcPr>
          <w:p w14:paraId="5FBB00F2" w14:textId="77777777" w:rsidR="009C6F7F" w:rsidRPr="00B414C7" w:rsidRDefault="009C6F7F" w:rsidP="008E155D">
            <w:pPr>
              <w:pStyle w:val="ESS-TableText"/>
            </w:pPr>
          </w:p>
        </w:tc>
        <w:tc>
          <w:tcPr>
            <w:tcW w:w="927" w:type="pct"/>
          </w:tcPr>
          <w:p w14:paraId="24202F70" w14:textId="77777777" w:rsidR="009C6F7F" w:rsidRPr="00B414C7" w:rsidRDefault="009C6F7F" w:rsidP="008E155D">
            <w:pPr>
              <w:pStyle w:val="ESS-TableText"/>
            </w:pPr>
          </w:p>
        </w:tc>
      </w:tr>
    </w:tbl>
    <w:p w14:paraId="09EC049C" w14:textId="77777777" w:rsidR="001C7398" w:rsidRDefault="001C7398" w:rsidP="00667243"/>
    <w:sectPr w:rsidR="001C7398" w:rsidSect="00790989">
      <w:headerReference w:type="even" r:id="rId12"/>
      <w:headerReference w:type="default" r:id="rId13"/>
      <w:footerReference w:type="even" r:id="rId14"/>
      <w:footerReference w:type="default" r:id="rId15"/>
      <w:headerReference w:type="first" r:id="rId16"/>
      <w:footerReference w:type="first" r:id="rId17"/>
      <w:pgSz w:w="11907" w:h="16840" w:code="9"/>
      <w:pgMar w:top="1361"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73A6" w14:textId="77777777" w:rsidR="00B91C78" w:rsidRDefault="00B91C78" w:rsidP="00D84B5E">
      <w:pPr>
        <w:spacing w:after="0"/>
      </w:pPr>
      <w:r>
        <w:separator/>
      </w:r>
    </w:p>
  </w:endnote>
  <w:endnote w:type="continuationSeparator" w:id="0">
    <w:p w14:paraId="6C5A435E" w14:textId="77777777" w:rsidR="00B91C78" w:rsidRDefault="00B91C78" w:rsidP="00D84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500000000020000"/>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000000000000000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737D" w14:textId="77777777" w:rsidR="00B2221D" w:rsidRDefault="00B2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A21D" w14:textId="77777777" w:rsidR="00B2221D" w:rsidRPr="00A114BB" w:rsidRDefault="00B2221D" w:rsidP="00D907E1">
    <w:pPr>
      <w:pStyle w:val="Footer"/>
      <w:jc w:val="center"/>
      <w:rPr>
        <w:szCs w:val="16"/>
      </w:rPr>
    </w:pPr>
    <w:r w:rsidRPr="00A114BB">
      <w:rPr>
        <w:rStyle w:val="PageNumber"/>
        <w:sz w:val="16"/>
        <w:szCs w:val="16"/>
      </w:rPr>
      <w:fldChar w:fldCharType="begin"/>
    </w:r>
    <w:r w:rsidRPr="00A114BB">
      <w:rPr>
        <w:rStyle w:val="PageNumber"/>
        <w:sz w:val="16"/>
        <w:szCs w:val="16"/>
      </w:rPr>
      <w:instrText xml:space="preserve"> PAGE </w:instrText>
    </w:r>
    <w:r w:rsidRPr="00A114BB">
      <w:rPr>
        <w:rStyle w:val="PageNumber"/>
        <w:sz w:val="16"/>
        <w:szCs w:val="16"/>
      </w:rPr>
      <w:fldChar w:fldCharType="separate"/>
    </w:r>
    <w:r>
      <w:rPr>
        <w:rStyle w:val="PageNumber"/>
        <w:noProof/>
        <w:sz w:val="16"/>
        <w:szCs w:val="16"/>
      </w:rPr>
      <w:t>2</w:t>
    </w:r>
    <w:r w:rsidRPr="00A114BB">
      <w:rPr>
        <w:rStyle w:val="PageNumber"/>
        <w:sz w:val="16"/>
        <w:szCs w:val="16"/>
      </w:rPr>
      <w:fldChar w:fldCharType="end"/>
    </w:r>
    <w:r w:rsidRPr="00A114BB">
      <w:rPr>
        <w:rStyle w:val="PageNumber"/>
        <w:sz w:val="16"/>
        <w:szCs w:val="16"/>
      </w:rPr>
      <w:t xml:space="preserve"> (</w:t>
    </w:r>
    <w:r w:rsidRPr="00A114BB">
      <w:rPr>
        <w:rStyle w:val="PageNumber"/>
        <w:sz w:val="16"/>
        <w:szCs w:val="16"/>
      </w:rPr>
      <w:fldChar w:fldCharType="begin"/>
    </w:r>
    <w:r w:rsidRPr="00A114BB">
      <w:rPr>
        <w:rStyle w:val="PageNumber"/>
        <w:sz w:val="16"/>
        <w:szCs w:val="16"/>
      </w:rPr>
      <w:instrText xml:space="preserve"> NUMPAGES </w:instrText>
    </w:r>
    <w:r w:rsidRPr="00A114BB">
      <w:rPr>
        <w:rStyle w:val="PageNumber"/>
        <w:sz w:val="16"/>
        <w:szCs w:val="16"/>
      </w:rPr>
      <w:fldChar w:fldCharType="separate"/>
    </w:r>
    <w:r>
      <w:rPr>
        <w:rStyle w:val="PageNumber"/>
        <w:noProof/>
        <w:sz w:val="16"/>
        <w:szCs w:val="16"/>
      </w:rPr>
      <w:t>4</w:t>
    </w:r>
    <w:r w:rsidRPr="00A114BB">
      <w:rPr>
        <w:rStyle w:val="PageNumber"/>
        <w:sz w:val="16"/>
        <w:szCs w:val="16"/>
      </w:rPr>
      <w:fldChar w:fldCharType="end"/>
    </w:r>
    <w:r w:rsidRPr="00A114BB">
      <w:rPr>
        <w:rStyle w:val="PageNumber"/>
        <w:sz w:val="16"/>
        <w:szCs w:val="16"/>
      </w:rPr>
      <w:t>)</w:t>
    </w:r>
  </w:p>
  <w:p w14:paraId="4C950A47" w14:textId="77777777" w:rsidR="00B2221D" w:rsidRDefault="00B222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2C11" w14:textId="77777777" w:rsidR="00B2221D" w:rsidRPr="00A114BB" w:rsidRDefault="00B2221D" w:rsidP="00CA35E0">
    <w:pPr>
      <w:pStyle w:val="Footer"/>
      <w:tabs>
        <w:tab w:val="left" w:pos="4253"/>
      </w:tabs>
      <w:ind w:right="357"/>
      <w:rPr>
        <w:rFonts w:ascii="Segoe UI Historic" w:hAnsi="Segoe UI Historic" w:cs="Segoe UI Historic"/>
        <w:sz w:val="15"/>
        <w:szCs w:val="15"/>
      </w:rPr>
    </w:pPr>
    <w:r w:rsidRPr="00A114BB">
      <w:rPr>
        <w:rFonts w:ascii="Segoe UI Historic" w:hAnsi="Segoe UI Historic" w:cs="Segoe UI Historic"/>
        <w:sz w:val="15"/>
        <w:szCs w:val="15"/>
      </w:rPr>
      <w:t xml:space="preserve">Template: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"MXTemplateTitle"  \* MERGEFORMAT </w:instrText>
    </w:r>
    <w:r w:rsidRPr="00A114BB">
      <w:rPr>
        <w:rFonts w:ascii="Segoe UI Historic" w:hAnsi="Segoe UI Historic" w:cs="Segoe UI Historic"/>
        <w:sz w:val="15"/>
        <w:szCs w:val="15"/>
      </w:rPr>
      <w:fldChar w:fldCharType="separate"/>
    </w:r>
    <w:r>
      <w:rPr>
        <w:rFonts w:ascii="Segoe UI Historic" w:hAnsi="Segoe UI Historic" w:cs="Segoe UI Historic"/>
        <w:sz w:val="15"/>
        <w:szCs w:val="15"/>
      </w:rPr>
      <w:t>Report</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"MXTemplateName"  \* MERGEFORMAT </w:instrText>
    </w:r>
    <w:r w:rsidRPr="00A114BB">
      <w:rPr>
        <w:rFonts w:ascii="Segoe UI Historic" w:hAnsi="Segoe UI Historic" w:cs="Segoe UI Historic"/>
        <w:sz w:val="15"/>
        <w:szCs w:val="15"/>
      </w:rPr>
      <w:fldChar w:fldCharType="separate"/>
    </w:r>
    <w:r>
      <w:rPr>
        <w:rFonts w:ascii="Segoe UI Historic" w:hAnsi="Segoe UI Historic" w:cs="Segoe UI Historic"/>
        <w:sz w:val="15"/>
        <w:szCs w:val="15"/>
      </w:rPr>
      <w:t>ESS-0060987</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Rev: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"MXTemplateRev"  \* MERGEFORMAT </w:instrText>
    </w:r>
    <w:r w:rsidRPr="00A114BB">
      <w:rPr>
        <w:rFonts w:ascii="Segoe UI Historic" w:hAnsi="Segoe UI Historic" w:cs="Segoe UI Historic"/>
        <w:sz w:val="15"/>
        <w:szCs w:val="15"/>
      </w:rPr>
      <w:fldChar w:fldCharType="separate"/>
    </w:r>
    <w:r>
      <w:rPr>
        <w:rFonts w:ascii="Segoe UI Historic" w:hAnsi="Segoe UI Historic" w:cs="Segoe UI Historic"/>
        <w:sz w:val="15"/>
        <w:szCs w:val="15"/>
      </w:rPr>
      <w:t>4</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Active date: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"MXTemplateReleaseDate"  \* MERGEFORMAT </w:instrText>
    </w:r>
    <w:r w:rsidRPr="00A114BB">
      <w:fldChar w:fldCharType="separate"/>
    </w:r>
    <w:r w:rsidRPr="009379ED">
      <w:t>Feb 20, 2020</w:t>
    </w:r>
    <w:r w:rsidRPr="00A114BB">
      <w:fldChar w:fldCharType="end"/>
    </w:r>
    <w:r w:rsidRPr="00A114BB">
      <w:rPr>
        <w:rFonts w:ascii="Segoe UI Historic" w:hAnsi="Segoe UI Historic" w:cs="Segoe UI Historic"/>
        <w:sz w:val="15"/>
        <w:szCs w:val="15"/>
      </w:rPr>
      <w:t>)</w:t>
    </w:r>
  </w:p>
  <w:p w14:paraId="4ED57173" w14:textId="77777777" w:rsidR="00B2221D" w:rsidRDefault="00B222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1744" w14:textId="77777777" w:rsidR="00B91C78" w:rsidRDefault="00B91C78" w:rsidP="00D84B5E">
      <w:pPr>
        <w:spacing w:after="0"/>
      </w:pPr>
      <w:r>
        <w:separator/>
      </w:r>
    </w:p>
  </w:footnote>
  <w:footnote w:type="continuationSeparator" w:id="0">
    <w:p w14:paraId="672EFBD7" w14:textId="77777777" w:rsidR="00B91C78" w:rsidRDefault="00B91C78" w:rsidP="00D84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B8A4" w14:textId="77777777" w:rsidR="00B2221D" w:rsidRDefault="00000000">
    <w:pPr>
      <w:pStyle w:val="Header"/>
    </w:pPr>
    <w:sdt>
      <w:sdtPr>
        <w:id w:val="281778772"/>
        <w:placeholder>
          <w:docPart w:val="22D085A4FDC6F34F91455164671D163E"/>
        </w:placeholder>
        <w:temporary/>
        <w:showingPlcHdr/>
      </w:sdtPr>
      <w:sdtContent>
        <w:r w:rsidR="00B2221D">
          <w:t>[Type text]</w:t>
        </w:r>
      </w:sdtContent>
    </w:sdt>
    <w:r w:rsidR="00B2221D">
      <w:ptab w:relativeTo="margin" w:alignment="center" w:leader="none"/>
    </w:r>
    <w:sdt>
      <w:sdtPr>
        <w:id w:val="-247424033"/>
        <w:placeholder>
          <w:docPart w:val="DA42A3D4BE36F14E923F7E84C0B447E9"/>
        </w:placeholder>
        <w:temporary/>
        <w:showingPlcHdr/>
      </w:sdtPr>
      <w:sdtContent>
        <w:r w:rsidR="00B2221D">
          <w:t>[Type text]</w:t>
        </w:r>
      </w:sdtContent>
    </w:sdt>
    <w:r w:rsidR="00B2221D">
      <w:ptab w:relativeTo="margin" w:alignment="right" w:leader="none"/>
    </w:r>
    <w:sdt>
      <w:sdtPr>
        <w:id w:val="651568375"/>
        <w:placeholder>
          <w:docPart w:val="39ED1B5F1F006243A0770C73F4D7150C"/>
        </w:placeholder>
        <w:temporary/>
        <w:showingPlcHdr/>
      </w:sdtPr>
      <w:sdtContent>
        <w:r w:rsidR="00B2221D">
          <w:t>[Type text]</w:t>
        </w:r>
      </w:sdtContent>
    </w:sdt>
  </w:p>
  <w:p w14:paraId="490F4232" w14:textId="77777777" w:rsidR="00B2221D" w:rsidRDefault="00B22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4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23"/>
      <w:gridCol w:w="1893"/>
      <w:gridCol w:w="1704"/>
    </w:tblGrid>
    <w:tr w:rsidR="00B2221D" w:rsidRPr="00A114BB" w14:paraId="5ED2790D" w14:textId="77777777" w:rsidTr="00124F44">
      <w:trPr>
        <w:trHeight w:val="196"/>
      </w:trPr>
      <w:tc>
        <w:tcPr>
          <w:tcW w:w="857" w:type="pct"/>
        </w:tcPr>
        <w:p w14:paraId="55134396" w14:textId="77777777" w:rsidR="00B2221D" w:rsidRPr="00A114BB" w:rsidRDefault="00B2221D" w:rsidP="00124F44">
          <w:pPr>
            <w:pStyle w:val="Header"/>
            <w:rPr>
              <w:rFonts w:cs="Segoe UI Historic"/>
            </w:rPr>
          </w:pPr>
          <w:r w:rsidRPr="00A114BB">
            <w:rPr>
              <w:rFonts w:cs="Segoe UI Historic"/>
            </w:rPr>
            <w:t>Document Type</w:t>
          </w:r>
        </w:p>
      </w:tc>
      <w:tc>
        <w:tcPr>
          <w:tcW w:w="2330" w:type="pct"/>
        </w:tcPr>
        <w:p w14:paraId="5F14B5F8" w14:textId="77777777" w:rsidR="00B2221D" w:rsidRPr="00A114BB" w:rsidRDefault="00B2221D" w:rsidP="00CA35E0">
          <w:pPr>
            <w:pStyle w:val="Header"/>
            <w:rPr>
              <w:rFonts w:cs="Segoe UI Historic"/>
            </w:rPr>
          </w:pPr>
          <w:r w:rsidRPr="00A114BB">
            <w:rPr>
              <w:rFonts w:cs="Segoe UI Historic"/>
            </w:rPr>
            <w:fldChar w:fldCharType="begin"/>
          </w:r>
          <w:r w:rsidRPr="00A114BB">
            <w:rPr>
              <w:rFonts w:cs="Segoe UI Historic"/>
            </w:rPr>
            <w:instrText xml:space="preserve"> DOCPROPERTY "MXType.Localized"  \* MERGEFORMAT </w:instrText>
          </w:r>
          <w:r w:rsidRPr="00A114BB">
            <w:rPr>
              <w:rFonts w:cs="Segoe UI Historic"/>
            </w:rPr>
            <w:fldChar w:fldCharType="separate"/>
          </w:r>
          <w:r>
            <w:rPr>
              <w:rFonts w:cs="Segoe UI Historic"/>
            </w:rPr>
            <w:t>Report</w:t>
          </w:r>
          <w:r w:rsidRPr="00A114BB">
            <w:rPr>
              <w:rFonts w:cs="Segoe UI Historic"/>
            </w:rPr>
            <w:fldChar w:fldCharType="end"/>
          </w:r>
        </w:p>
      </w:tc>
      <w:tc>
        <w:tcPr>
          <w:tcW w:w="954" w:type="pct"/>
        </w:tcPr>
        <w:p w14:paraId="3895DB30" w14:textId="77777777" w:rsidR="00B2221D" w:rsidRPr="00A114BB" w:rsidRDefault="00B2221D" w:rsidP="00CA35E0">
          <w:pPr>
            <w:pStyle w:val="Header"/>
            <w:rPr>
              <w:rFonts w:cs="Segoe UI Historic"/>
            </w:rPr>
          </w:pPr>
          <w:r w:rsidRPr="00A114BB">
            <w:rPr>
              <w:rFonts w:cs="Segoe UI Historic"/>
            </w:rPr>
            <w:t xml:space="preserve">Date </w:t>
          </w:r>
        </w:p>
      </w:tc>
      <w:tc>
        <w:tcPr>
          <w:tcW w:w="859" w:type="pct"/>
        </w:tcPr>
        <w:p w14:paraId="68069016" w14:textId="77777777" w:rsidR="00B2221D" w:rsidRPr="00A114BB" w:rsidRDefault="00B2221D" w:rsidP="00120421">
          <w:pPr>
            <w:pStyle w:val="Header"/>
            <w:rPr>
              <w:rFonts w:cs="Segoe UI Historic"/>
            </w:rPr>
          </w:pPr>
          <w:r w:rsidRPr="00A114BB">
            <w:rPr>
              <w:rFonts w:cs="Segoe UI Historic"/>
            </w:rPr>
            <w:fldChar w:fldCharType="begin"/>
          </w:r>
          <w:r w:rsidRPr="00A114BB">
            <w:rPr>
              <w:rFonts w:cs="Segoe UI Historic"/>
            </w:rPr>
            <w:instrText xml:space="preserve"> DOCPROPERTY "MXPrinted Date"  \* MERGEFORMAT </w:instrText>
          </w:r>
          <w:r w:rsidRPr="00A114BB">
            <w:rPr>
              <w:rFonts w:cs="Segoe UI Historic"/>
            </w:rPr>
            <w:fldChar w:fldCharType="separate"/>
          </w:r>
          <w:r>
            <w:rPr>
              <w:rFonts w:cs="Segoe UI Historic"/>
            </w:rPr>
            <w:t>May 24, 2024</w:t>
          </w:r>
          <w:r w:rsidRPr="00A114BB">
            <w:rPr>
              <w:rFonts w:cs="Segoe UI Historic"/>
            </w:rPr>
            <w:fldChar w:fldCharType="end"/>
          </w:r>
        </w:p>
      </w:tc>
    </w:tr>
    <w:tr w:rsidR="00B2221D" w:rsidRPr="00A114BB" w14:paraId="09AEB42D" w14:textId="77777777" w:rsidTr="00124F44">
      <w:trPr>
        <w:trHeight w:val="196"/>
      </w:trPr>
      <w:tc>
        <w:tcPr>
          <w:tcW w:w="857" w:type="pct"/>
        </w:tcPr>
        <w:p w14:paraId="4B7AD87D" w14:textId="77777777" w:rsidR="00B2221D" w:rsidRPr="00A114BB" w:rsidRDefault="00B2221D" w:rsidP="00F13777">
          <w:pPr>
            <w:pStyle w:val="Header"/>
            <w:rPr>
              <w:rFonts w:cs="Segoe UI Historic"/>
            </w:rPr>
          </w:pPr>
          <w:r w:rsidRPr="00A114BB">
            <w:rPr>
              <w:rFonts w:cs="Segoe UI Historic"/>
            </w:rPr>
            <w:t>Document Number</w:t>
          </w:r>
        </w:p>
      </w:tc>
      <w:tc>
        <w:tcPr>
          <w:tcW w:w="2330" w:type="pct"/>
        </w:tcPr>
        <w:p w14:paraId="42D01B69" w14:textId="77777777" w:rsidR="00B2221D" w:rsidRPr="00A114BB" w:rsidRDefault="00B2221D" w:rsidP="00120421">
          <w:pPr>
            <w:pStyle w:val="Header"/>
            <w:rPr>
              <w:rFonts w:cs="Segoe UI Historic"/>
            </w:rPr>
          </w:pPr>
          <w:r w:rsidRPr="00A114BB">
            <w:rPr>
              <w:rFonts w:cs="Segoe UI Historic"/>
            </w:rPr>
            <w:fldChar w:fldCharType="begin"/>
          </w:r>
          <w:r w:rsidRPr="00A114BB">
            <w:rPr>
              <w:rFonts w:cs="Segoe UI Historic"/>
            </w:rPr>
            <w:instrText xml:space="preserve"> DOCPROPERTY "MXName"  \* MERGEFORMAT </w:instrText>
          </w:r>
          <w:r w:rsidRPr="00A114BB">
            <w:rPr>
              <w:rFonts w:cs="Segoe UI Historic"/>
            </w:rPr>
            <w:fldChar w:fldCharType="separate"/>
          </w:r>
          <w:r>
            <w:rPr>
              <w:rFonts w:cs="Segoe UI Historic"/>
            </w:rPr>
            <w:t>ESS-5430095</w:t>
          </w:r>
          <w:r w:rsidRPr="00A114BB">
            <w:rPr>
              <w:rFonts w:cs="Segoe UI Historic"/>
            </w:rPr>
            <w:fldChar w:fldCharType="end"/>
          </w:r>
        </w:p>
      </w:tc>
      <w:tc>
        <w:tcPr>
          <w:tcW w:w="954" w:type="pct"/>
        </w:tcPr>
        <w:p w14:paraId="44B8697B" w14:textId="77777777" w:rsidR="00B2221D" w:rsidRPr="00A114BB" w:rsidRDefault="00B2221D" w:rsidP="00CA35E0">
          <w:pPr>
            <w:pStyle w:val="Header"/>
            <w:rPr>
              <w:rFonts w:cs="Segoe UI Historic"/>
            </w:rPr>
          </w:pPr>
          <w:r w:rsidRPr="00A114BB">
            <w:rPr>
              <w:rFonts w:cs="Segoe UI Historic"/>
            </w:rPr>
            <w:t xml:space="preserve">State </w:t>
          </w:r>
        </w:p>
      </w:tc>
      <w:tc>
        <w:tcPr>
          <w:tcW w:w="859" w:type="pct"/>
        </w:tcPr>
        <w:p w14:paraId="71B36175" w14:textId="77777777" w:rsidR="00B2221D" w:rsidRPr="00A114BB" w:rsidRDefault="00B2221D" w:rsidP="00120421">
          <w:pPr>
            <w:pStyle w:val="Header"/>
            <w:rPr>
              <w:rFonts w:cs="Segoe UI Historic"/>
            </w:rPr>
          </w:pPr>
          <w:r w:rsidRPr="00A114BB">
            <w:rPr>
              <w:rFonts w:cs="Segoe UI Historic"/>
            </w:rPr>
            <w:fldChar w:fldCharType="begin"/>
          </w:r>
          <w:r w:rsidRPr="00A114BB">
            <w:rPr>
              <w:rFonts w:cs="Segoe UI Historic"/>
            </w:rPr>
            <w:instrText xml:space="preserve"> DOCPROPERTY "MXCurrent"  \* MERGEFORMAT </w:instrText>
          </w:r>
          <w:r w:rsidRPr="00A114BB">
            <w:rPr>
              <w:rFonts w:cs="Segoe UI Historic"/>
            </w:rPr>
            <w:fldChar w:fldCharType="separate"/>
          </w:r>
          <w:r>
            <w:rPr>
              <w:rFonts w:cs="Segoe UI Historic"/>
            </w:rPr>
            <w:t>Preliminary</w:t>
          </w:r>
          <w:r w:rsidRPr="00A114BB">
            <w:rPr>
              <w:rFonts w:cs="Segoe UI Historic"/>
            </w:rPr>
            <w:fldChar w:fldCharType="end"/>
          </w:r>
        </w:p>
      </w:tc>
    </w:tr>
    <w:tr w:rsidR="00B2221D" w:rsidRPr="00A114BB" w14:paraId="5C8798D5" w14:textId="77777777" w:rsidTr="00124F44">
      <w:trPr>
        <w:trHeight w:val="196"/>
      </w:trPr>
      <w:tc>
        <w:tcPr>
          <w:tcW w:w="857" w:type="pct"/>
        </w:tcPr>
        <w:p w14:paraId="0E42E0C4" w14:textId="77777777" w:rsidR="00B2221D" w:rsidRPr="00A114BB" w:rsidRDefault="00B2221D" w:rsidP="00F13777">
          <w:pPr>
            <w:pStyle w:val="Header"/>
            <w:rPr>
              <w:rFonts w:cs="Segoe UI Historic"/>
            </w:rPr>
          </w:pPr>
          <w:r w:rsidRPr="00A114BB">
            <w:rPr>
              <w:rFonts w:cs="Segoe UI Historic"/>
            </w:rPr>
            <w:t>Revision</w:t>
          </w:r>
        </w:p>
      </w:tc>
      <w:tc>
        <w:tcPr>
          <w:tcW w:w="2330" w:type="pct"/>
        </w:tcPr>
        <w:p w14:paraId="36B57E72" w14:textId="77777777" w:rsidR="00B2221D" w:rsidRPr="00A114BB" w:rsidRDefault="00B2221D" w:rsidP="00120421">
          <w:pPr>
            <w:pStyle w:val="Header"/>
            <w:rPr>
              <w:rFonts w:cs="Segoe UI Historic"/>
            </w:rPr>
          </w:pPr>
          <w:r w:rsidRPr="00A114BB">
            <w:rPr>
              <w:rFonts w:cs="Segoe UI Historic"/>
            </w:rPr>
            <w:fldChar w:fldCharType="begin"/>
          </w:r>
          <w:r w:rsidRPr="00A114BB">
            <w:rPr>
              <w:rFonts w:cs="Segoe UI Historic"/>
            </w:rPr>
            <w:instrText xml:space="preserve"> DOCPROPERTY "MXRevision"  \* MERGEFORMAT </w:instrText>
          </w:r>
          <w:r w:rsidRPr="00A114BB">
            <w:rPr>
              <w:rFonts w:cs="Segoe UI Historic"/>
            </w:rPr>
            <w:fldChar w:fldCharType="separate"/>
          </w:r>
          <w:r>
            <w:rPr>
              <w:rFonts w:cs="Segoe UI Historic"/>
            </w:rPr>
            <w:t>1</w:t>
          </w:r>
          <w:r w:rsidRPr="00A114BB">
            <w:rPr>
              <w:rFonts w:cs="Segoe UI Historic"/>
            </w:rPr>
            <w:fldChar w:fldCharType="end"/>
          </w:r>
          <w:r w:rsidRPr="00A114BB">
            <w:rPr>
              <w:rFonts w:cs="Segoe UI Historic"/>
            </w:rPr>
            <w:t xml:space="preserve"> </w:t>
          </w:r>
          <w:r w:rsidRPr="00A114BB">
            <w:rPr>
              <w:rFonts w:cs="Segoe UI Historic"/>
            </w:rPr>
            <w:fldChar w:fldCharType="begin"/>
          </w:r>
          <w:r w:rsidRPr="00A114BB">
            <w:rPr>
              <w:rFonts w:cs="Segoe UI Historic"/>
            </w:rPr>
            <w:instrText xml:space="preserve"> DOCPROPERTY "MXPrinted Version"  \* MERGEFORMAT </w:instrText>
          </w:r>
          <w:r w:rsidRPr="00A114BB">
            <w:rPr>
              <w:rFonts w:cs="Segoe UI Historic"/>
            </w:rPr>
            <w:fldChar w:fldCharType="separate"/>
          </w:r>
          <w:r>
            <w:rPr>
              <w:rFonts w:cs="Segoe UI Historic"/>
            </w:rPr>
            <w:t>(1)</w:t>
          </w:r>
          <w:r w:rsidRPr="00A114BB">
            <w:fldChar w:fldCharType="end"/>
          </w:r>
        </w:p>
      </w:tc>
      <w:tc>
        <w:tcPr>
          <w:tcW w:w="954" w:type="pct"/>
        </w:tcPr>
        <w:p w14:paraId="6BC09A94" w14:textId="77777777" w:rsidR="00B2221D" w:rsidRPr="00A114BB" w:rsidRDefault="00B2221D" w:rsidP="00CA35E0">
          <w:pPr>
            <w:pStyle w:val="Header"/>
            <w:rPr>
              <w:rFonts w:cs="Segoe UI Historic"/>
            </w:rPr>
          </w:pPr>
          <w:r w:rsidRPr="00A114BB">
            <w:rPr>
              <w:rFonts w:cs="Segoe UI Historic"/>
            </w:rPr>
            <w:t xml:space="preserve">Confidentiality Level </w:t>
          </w:r>
        </w:p>
      </w:tc>
      <w:tc>
        <w:tcPr>
          <w:tcW w:w="859" w:type="pct"/>
        </w:tcPr>
        <w:p w14:paraId="56F6FE53" w14:textId="77777777" w:rsidR="00B2221D" w:rsidRPr="00A114BB" w:rsidRDefault="00B2221D" w:rsidP="00120421">
          <w:pPr>
            <w:pStyle w:val="Header"/>
            <w:rPr>
              <w:rFonts w:cs="Segoe UI Historic"/>
            </w:rPr>
          </w:pPr>
          <w:r w:rsidRPr="00A114BB">
            <w:rPr>
              <w:rFonts w:cs="Segoe UI Historic"/>
            </w:rPr>
            <w:fldChar w:fldCharType="begin"/>
          </w:r>
          <w:r w:rsidRPr="00A114BB">
            <w:rPr>
              <w:rFonts w:cs="Segoe UI Historic"/>
            </w:rPr>
            <w:instrText xml:space="preserve"> IF </w:instrText>
          </w:r>
          <w:r w:rsidRPr="00A114BB">
            <w:rPr>
              <w:rFonts w:cs="Segoe UI Historic"/>
            </w:rPr>
            <w:fldChar w:fldCharType="begin"/>
          </w:r>
          <w:r w:rsidRPr="00A114BB">
            <w:rPr>
              <w:rFonts w:cs="Segoe UI Historic"/>
            </w:rPr>
            <w:instrText xml:space="preserve"> DOCPROPERTY "MXConfidentiality"  \* MERGEFORMAT </w:instrText>
          </w:r>
          <w:r w:rsidRPr="00A114BB">
            <w:rPr>
              <w:rFonts w:cs="Segoe UI Historic"/>
            </w:rPr>
            <w:fldChar w:fldCharType="separate"/>
          </w:r>
          <w:r>
            <w:rPr>
              <w:rFonts w:cs="Segoe UI Historic"/>
            </w:rPr>
            <w:instrText>Internal</w:instrText>
          </w:r>
          <w:r w:rsidRPr="00A114BB">
            <w:rPr>
              <w:rFonts w:cs="Segoe UI Historic"/>
            </w:rPr>
            <w:fldChar w:fldCharType="end"/>
          </w:r>
          <w:r w:rsidRPr="00A114BB">
            <w:rPr>
              <w:rFonts w:cs="Segoe UI Historic"/>
            </w:rPr>
            <w:instrText xml:space="preserve"> = "Confidential" </w:instrText>
          </w:r>
          <w:r w:rsidRPr="00A114BB">
            <w:rPr>
              <w:rFonts w:cs="Segoe UI Historic"/>
              <w:b/>
              <w:color w:val="FF0000"/>
            </w:rPr>
            <w:fldChar w:fldCharType="begin"/>
          </w:r>
          <w:r w:rsidRPr="00A114BB">
            <w:rPr>
              <w:rFonts w:cs="Segoe UI Historic"/>
              <w:b/>
              <w:color w:val="FF0000"/>
            </w:rPr>
            <w:instrText xml:space="preserve"> DOCPROPERTY "MXConfidentiality" \* MERGEFORMAT </w:instrText>
          </w:r>
          <w:r w:rsidRPr="00A114BB">
            <w:rPr>
              <w:rFonts w:cs="Segoe UI Historic"/>
              <w:b/>
              <w:color w:val="FF0000"/>
            </w:rPr>
            <w:fldChar w:fldCharType="separate"/>
          </w:r>
          <w:r w:rsidRPr="00A114BB">
            <w:rPr>
              <w:rFonts w:cs="Segoe UI Historic"/>
              <w:b/>
              <w:color w:val="FF0000"/>
            </w:rPr>
            <w:instrText>Confidential</w:instrText>
          </w:r>
          <w:r w:rsidRPr="00A114BB">
            <w:rPr>
              <w:rFonts w:cs="Segoe UI Historic"/>
              <w:b/>
              <w:color w:val="FF0000"/>
            </w:rPr>
            <w:fldChar w:fldCharType="end"/>
          </w:r>
          <w:r w:rsidRPr="00A114BB">
            <w:rPr>
              <w:rFonts w:cs="Segoe UI Historic"/>
            </w:rPr>
            <w:instrText xml:space="preserve">  </w:instrText>
          </w:r>
          <w:r w:rsidRPr="00A114BB">
            <w:rPr>
              <w:rFonts w:cs="Segoe UI Historic"/>
            </w:rPr>
            <w:fldChar w:fldCharType="begin"/>
          </w:r>
          <w:r w:rsidRPr="00A114BB">
            <w:rPr>
              <w:rFonts w:cs="Segoe UI Historic"/>
            </w:rPr>
            <w:instrText xml:space="preserve"> DOCPROPERTY "MXConfidentiality" \* MERGEFORMAT </w:instrText>
          </w:r>
          <w:r w:rsidRPr="00A114BB">
            <w:rPr>
              <w:rFonts w:cs="Segoe UI Historic"/>
            </w:rPr>
            <w:fldChar w:fldCharType="separate"/>
          </w:r>
          <w:r>
            <w:rPr>
              <w:rFonts w:cs="Segoe UI Historic"/>
            </w:rPr>
            <w:instrText>Internal</w:instrText>
          </w:r>
          <w:r w:rsidRPr="00A114BB">
            <w:rPr>
              <w:rFonts w:cs="Segoe UI Historic"/>
            </w:rPr>
            <w:fldChar w:fldCharType="end"/>
          </w:r>
          <w:r w:rsidRPr="00A114BB">
            <w:rPr>
              <w:rFonts w:cs="Segoe UI Historic"/>
            </w:rPr>
            <w:instrText xml:space="preserve"> </w:instrText>
          </w:r>
          <w:r w:rsidRPr="00A114BB">
            <w:rPr>
              <w:rFonts w:cs="Segoe UI Historic"/>
            </w:rPr>
            <w:fldChar w:fldCharType="separate"/>
          </w:r>
          <w:r>
            <w:rPr>
              <w:rFonts w:cs="Segoe UI Historic"/>
              <w:noProof/>
            </w:rPr>
            <w:t>Internal</w:t>
          </w:r>
          <w:r w:rsidRPr="00A114BB">
            <w:rPr>
              <w:rFonts w:cs="Segoe UI Historic"/>
            </w:rPr>
            <w:fldChar w:fldCharType="end"/>
          </w:r>
        </w:p>
      </w:tc>
    </w:tr>
  </w:tbl>
  <w:p w14:paraId="58FF05AF" w14:textId="77777777" w:rsidR="00B2221D" w:rsidRPr="00124F44" w:rsidRDefault="00B2221D" w:rsidP="00124F44">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1943"/>
      <w:gridCol w:w="2331"/>
    </w:tblGrid>
    <w:tr w:rsidR="00B2221D" w:rsidRPr="00B414C7" w14:paraId="167F9881" w14:textId="77777777" w:rsidTr="006A7E65">
      <w:trPr>
        <w:trHeight w:val="196"/>
      </w:trPr>
      <w:tc>
        <w:tcPr>
          <w:tcW w:w="5670" w:type="dxa"/>
          <w:vMerge w:val="restart"/>
        </w:tcPr>
        <w:p w14:paraId="0CEA8F50" w14:textId="77777777" w:rsidR="00B2221D" w:rsidRPr="00B414C7" w:rsidRDefault="00B2221D" w:rsidP="00F13777">
          <w:pPr>
            <w:pStyle w:val="Header"/>
            <w:rPr>
              <w:rFonts w:cs="Times New Roman (Body CS)"/>
            </w:rPr>
          </w:pPr>
          <w:r w:rsidRPr="00B414C7">
            <w:rPr>
              <w:rFonts w:cs="Times New Roman (Body CS)"/>
              <w:noProof/>
              <w:lang w:val="sv-SE" w:eastAsia="sv-SE"/>
            </w:rPr>
            <w:drawing>
              <wp:anchor distT="0" distB="0" distL="114300" distR="114300" simplePos="0" relativeHeight="251659264" behindDoc="0" locked="0" layoutInCell="1" allowOverlap="1" wp14:anchorId="23E63957" wp14:editId="52328E2E">
                <wp:simplePos x="0" y="0"/>
                <wp:positionH relativeFrom="page">
                  <wp:posOffset>37340</wp:posOffset>
                </wp:positionH>
                <wp:positionV relativeFrom="page">
                  <wp:posOffset>38100</wp:posOffset>
                </wp:positionV>
                <wp:extent cx="1429592" cy="756000"/>
                <wp:effectExtent l="0" t="0" r="5715" b="6350"/>
                <wp:wrapNone/>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9592" cy="75600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tcPr>
        <w:p w14:paraId="1D88B3CD" w14:textId="77777777" w:rsidR="00B2221D" w:rsidRPr="00A114BB" w:rsidRDefault="00B2221D" w:rsidP="00F13777">
          <w:pPr>
            <w:pStyle w:val="Header"/>
            <w:rPr>
              <w:rFonts w:cs="Times New Roman (Body CS)"/>
              <w:szCs w:val="16"/>
            </w:rPr>
          </w:pPr>
          <w:r w:rsidRPr="00A114BB">
            <w:rPr>
              <w:rFonts w:cs="Times New Roman (Body CS)"/>
              <w:szCs w:val="16"/>
            </w:rPr>
            <w:t>Document Type</w:t>
          </w:r>
        </w:p>
      </w:tc>
      <w:tc>
        <w:tcPr>
          <w:tcW w:w="2410" w:type="dxa"/>
        </w:tcPr>
        <w:p w14:paraId="20667ABE" w14:textId="77777777" w:rsidR="00B2221D" w:rsidRPr="00A114BB" w:rsidRDefault="00B2221D"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"MXType.Localized"  \* MERGEFORMAT </w:instrText>
          </w:r>
          <w:r w:rsidRPr="00A114BB">
            <w:rPr>
              <w:rFonts w:cs="Times New Roman (Body CS)"/>
              <w:szCs w:val="16"/>
            </w:rPr>
            <w:fldChar w:fldCharType="separate"/>
          </w:r>
          <w:r>
            <w:rPr>
              <w:rFonts w:cs="Times New Roman (Body CS)"/>
              <w:szCs w:val="16"/>
            </w:rPr>
            <w:t>Report</w:t>
          </w:r>
          <w:r w:rsidRPr="00A114BB">
            <w:rPr>
              <w:rFonts w:cs="Times New Roman (Body CS)"/>
              <w:szCs w:val="16"/>
            </w:rPr>
            <w:fldChar w:fldCharType="end"/>
          </w:r>
        </w:p>
      </w:tc>
    </w:tr>
    <w:tr w:rsidR="00B2221D" w:rsidRPr="00B414C7" w14:paraId="56540250" w14:textId="77777777" w:rsidTr="006A7E65">
      <w:trPr>
        <w:trHeight w:val="196"/>
      </w:trPr>
      <w:tc>
        <w:tcPr>
          <w:tcW w:w="5670" w:type="dxa"/>
          <w:vMerge/>
        </w:tcPr>
        <w:p w14:paraId="380A394C" w14:textId="77777777" w:rsidR="00B2221D" w:rsidRPr="00B414C7" w:rsidRDefault="00B2221D" w:rsidP="00F13777">
          <w:pPr>
            <w:pStyle w:val="Header"/>
            <w:rPr>
              <w:rFonts w:cs="Times New Roman (Body CS)"/>
            </w:rPr>
          </w:pPr>
        </w:p>
      </w:tc>
      <w:tc>
        <w:tcPr>
          <w:tcW w:w="1985" w:type="dxa"/>
        </w:tcPr>
        <w:p w14:paraId="7B44E76E" w14:textId="77777777" w:rsidR="00B2221D" w:rsidRPr="00A114BB" w:rsidRDefault="00B2221D" w:rsidP="00F13777">
          <w:pPr>
            <w:pStyle w:val="Header"/>
            <w:rPr>
              <w:rFonts w:cs="Times New Roman (Body CS)"/>
              <w:szCs w:val="16"/>
            </w:rPr>
          </w:pPr>
          <w:r w:rsidRPr="00A114BB">
            <w:rPr>
              <w:rFonts w:cs="Times New Roman (Body CS)"/>
              <w:szCs w:val="16"/>
            </w:rPr>
            <w:t>Document Number</w:t>
          </w:r>
        </w:p>
      </w:tc>
      <w:tc>
        <w:tcPr>
          <w:tcW w:w="2410" w:type="dxa"/>
        </w:tcPr>
        <w:p w14:paraId="1D6F6A76" w14:textId="77777777" w:rsidR="00B2221D" w:rsidRPr="00A114BB" w:rsidRDefault="00B2221D"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"MXName"  \* MERGEFORMAT </w:instrText>
          </w:r>
          <w:r w:rsidRPr="00A114BB">
            <w:rPr>
              <w:rFonts w:cs="Times New Roman (Body CS)"/>
              <w:szCs w:val="16"/>
            </w:rPr>
            <w:fldChar w:fldCharType="separate"/>
          </w:r>
          <w:r>
            <w:rPr>
              <w:rFonts w:cs="Times New Roman (Body CS)"/>
              <w:szCs w:val="16"/>
            </w:rPr>
            <w:t>ESS-5430095</w:t>
          </w:r>
          <w:r w:rsidRPr="00A114BB">
            <w:rPr>
              <w:rFonts w:cs="Times New Roman (Body CS)"/>
              <w:szCs w:val="16"/>
            </w:rPr>
            <w:fldChar w:fldCharType="end"/>
          </w:r>
        </w:p>
      </w:tc>
    </w:tr>
    <w:tr w:rsidR="00B2221D" w:rsidRPr="00B414C7" w14:paraId="2E048616" w14:textId="77777777" w:rsidTr="006A7E65">
      <w:trPr>
        <w:trHeight w:val="234"/>
      </w:trPr>
      <w:tc>
        <w:tcPr>
          <w:tcW w:w="5670" w:type="dxa"/>
          <w:vMerge/>
        </w:tcPr>
        <w:p w14:paraId="6FE9A1E8" w14:textId="77777777" w:rsidR="00B2221D" w:rsidRPr="00B414C7" w:rsidRDefault="00B2221D" w:rsidP="00F13777">
          <w:pPr>
            <w:pStyle w:val="Header"/>
            <w:rPr>
              <w:rFonts w:cs="Times New Roman (Body CS)"/>
            </w:rPr>
          </w:pPr>
        </w:p>
      </w:tc>
      <w:tc>
        <w:tcPr>
          <w:tcW w:w="1985" w:type="dxa"/>
        </w:tcPr>
        <w:p w14:paraId="70F5423B" w14:textId="77777777" w:rsidR="00B2221D" w:rsidRPr="00A114BB" w:rsidRDefault="00B2221D" w:rsidP="00F13777">
          <w:pPr>
            <w:pStyle w:val="Header"/>
            <w:rPr>
              <w:rFonts w:cs="Times New Roman (Body CS)"/>
              <w:szCs w:val="16"/>
            </w:rPr>
          </w:pPr>
          <w:r w:rsidRPr="00A114BB">
            <w:rPr>
              <w:rFonts w:cs="Times New Roman (Body CS)"/>
              <w:szCs w:val="16"/>
            </w:rPr>
            <w:t>Date</w:t>
          </w:r>
        </w:p>
      </w:tc>
      <w:tc>
        <w:tcPr>
          <w:tcW w:w="2410" w:type="dxa"/>
        </w:tcPr>
        <w:p w14:paraId="0BFAC281" w14:textId="77777777" w:rsidR="00B2221D" w:rsidRPr="00A114BB" w:rsidRDefault="00B2221D"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"MXPrinted Date"  \* MERGEFORMAT </w:instrText>
          </w:r>
          <w:r w:rsidRPr="00A114BB">
            <w:rPr>
              <w:rFonts w:cs="Times New Roman (Body CS)"/>
              <w:szCs w:val="16"/>
            </w:rPr>
            <w:fldChar w:fldCharType="separate"/>
          </w:r>
          <w:r>
            <w:rPr>
              <w:rFonts w:cs="Times New Roman (Body CS)"/>
              <w:szCs w:val="16"/>
            </w:rPr>
            <w:t>May 24, 2024</w:t>
          </w:r>
          <w:r w:rsidRPr="00A114BB">
            <w:rPr>
              <w:rFonts w:cs="Times New Roman (Body CS)"/>
              <w:szCs w:val="16"/>
            </w:rPr>
            <w:fldChar w:fldCharType="end"/>
          </w:r>
        </w:p>
      </w:tc>
    </w:tr>
    <w:tr w:rsidR="00B2221D" w:rsidRPr="00B414C7" w14:paraId="6C40A90B" w14:textId="77777777" w:rsidTr="006A7E65">
      <w:trPr>
        <w:trHeight w:val="196"/>
      </w:trPr>
      <w:tc>
        <w:tcPr>
          <w:tcW w:w="5670" w:type="dxa"/>
          <w:vMerge/>
        </w:tcPr>
        <w:p w14:paraId="7E98CECF" w14:textId="77777777" w:rsidR="00B2221D" w:rsidRPr="00B414C7" w:rsidRDefault="00B2221D" w:rsidP="00F13777">
          <w:pPr>
            <w:pStyle w:val="Header"/>
            <w:rPr>
              <w:rFonts w:cs="Times New Roman (Body CS)"/>
            </w:rPr>
          </w:pPr>
        </w:p>
      </w:tc>
      <w:tc>
        <w:tcPr>
          <w:tcW w:w="1985" w:type="dxa"/>
        </w:tcPr>
        <w:p w14:paraId="4742CCB7" w14:textId="77777777" w:rsidR="00B2221D" w:rsidRPr="00A114BB" w:rsidRDefault="00B2221D" w:rsidP="00F13777">
          <w:pPr>
            <w:pStyle w:val="Header"/>
            <w:rPr>
              <w:rFonts w:cs="Times New Roman (Body CS)"/>
              <w:szCs w:val="16"/>
            </w:rPr>
          </w:pPr>
          <w:r w:rsidRPr="00A114BB">
            <w:rPr>
              <w:rFonts w:cs="Times New Roman (Body CS)"/>
              <w:szCs w:val="16"/>
            </w:rPr>
            <w:t>Revision</w:t>
          </w:r>
        </w:p>
      </w:tc>
      <w:tc>
        <w:tcPr>
          <w:tcW w:w="2410" w:type="dxa"/>
        </w:tcPr>
        <w:p w14:paraId="68B46983" w14:textId="77777777" w:rsidR="00B2221D" w:rsidRPr="00A114BB" w:rsidRDefault="00B2221D"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"MXRevision"  \* MERGEFORMAT </w:instrText>
          </w:r>
          <w:r w:rsidRPr="00A114BB">
            <w:rPr>
              <w:rFonts w:cs="Times New Roman (Body CS)"/>
              <w:szCs w:val="16"/>
            </w:rPr>
            <w:fldChar w:fldCharType="separate"/>
          </w:r>
          <w:r>
            <w:rPr>
              <w:rFonts w:cs="Times New Roman (Body CS)"/>
              <w:szCs w:val="16"/>
            </w:rPr>
            <w:t>1</w:t>
          </w:r>
          <w:r w:rsidRPr="00A114BB">
            <w:rPr>
              <w:rFonts w:cs="Times New Roman (Body CS)"/>
              <w:szCs w:val="16"/>
            </w:rPr>
            <w:fldChar w:fldCharType="end"/>
          </w:r>
          <w:r w:rsidRPr="00A114BB">
            <w:rPr>
              <w:rFonts w:cs="Times New Roman (Body CS)"/>
              <w:szCs w:val="16"/>
            </w:rPr>
            <w:t xml:space="preserve"> </w:t>
          </w:r>
          <w:r w:rsidRPr="00A114BB">
            <w:rPr>
              <w:rFonts w:cs="Times New Roman (Body CS)"/>
              <w:szCs w:val="16"/>
            </w:rPr>
            <w:fldChar w:fldCharType="begin"/>
          </w:r>
          <w:r w:rsidRPr="00A114BB">
            <w:rPr>
              <w:rFonts w:cs="Times New Roman (Body CS)"/>
              <w:szCs w:val="16"/>
            </w:rPr>
            <w:instrText xml:space="preserve"> DOCPROPERTY "MXPrinted Version"  \* MERGEFORMAT </w:instrText>
          </w:r>
          <w:r w:rsidRPr="00A114BB">
            <w:rPr>
              <w:rFonts w:cs="Times New Roman (Body CS)"/>
              <w:szCs w:val="16"/>
            </w:rPr>
            <w:fldChar w:fldCharType="separate"/>
          </w:r>
          <w:r>
            <w:rPr>
              <w:rFonts w:cs="Times New Roman (Body CS)"/>
              <w:szCs w:val="16"/>
            </w:rPr>
            <w:t>(1)</w:t>
          </w:r>
          <w:r w:rsidRPr="00A114BB">
            <w:fldChar w:fldCharType="end"/>
          </w:r>
        </w:p>
      </w:tc>
    </w:tr>
    <w:tr w:rsidR="00B2221D" w:rsidRPr="00B414C7" w14:paraId="7EEAB3D3" w14:textId="77777777" w:rsidTr="006A7E65">
      <w:trPr>
        <w:trHeight w:val="196"/>
      </w:trPr>
      <w:tc>
        <w:tcPr>
          <w:tcW w:w="5670" w:type="dxa"/>
          <w:vMerge/>
        </w:tcPr>
        <w:p w14:paraId="07A1FEC4" w14:textId="77777777" w:rsidR="00B2221D" w:rsidRPr="00B414C7" w:rsidRDefault="00B2221D" w:rsidP="00F13777">
          <w:pPr>
            <w:pStyle w:val="Header"/>
            <w:rPr>
              <w:rFonts w:cs="Times New Roman (Body CS)"/>
            </w:rPr>
          </w:pPr>
        </w:p>
      </w:tc>
      <w:tc>
        <w:tcPr>
          <w:tcW w:w="1985" w:type="dxa"/>
        </w:tcPr>
        <w:p w14:paraId="6CB74ABD" w14:textId="77777777" w:rsidR="00B2221D" w:rsidRPr="00A114BB" w:rsidRDefault="00B2221D" w:rsidP="00F13777">
          <w:pPr>
            <w:pStyle w:val="Header"/>
            <w:rPr>
              <w:rFonts w:cs="Times New Roman (Body CS)"/>
              <w:szCs w:val="16"/>
            </w:rPr>
          </w:pPr>
          <w:r w:rsidRPr="00A114BB">
            <w:rPr>
              <w:rFonts w:cs="Times New Roman (Body CS)"/>
              <w:szCs w:val="16"/>
            </w:rPr>
            <w:t>State</w:t>
          </w:r>
        </w:p>
      </w:tc>
      <w:tc>
        <w:tcPr>
          <w:tcW w:w="2410" w:type="dxa"/>
        </w:tcPr>
        <w:p w14:paraId="4EBB34F0" w14:textId="77777777" w:rsidR="00B2221D" w:rsidRPr="00A114BB" w:rsidRDefault="00B2221D"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"MXCurrent"  \* MERGEFORMAT </w:instrText>
          </w:r>
          <w:r w:rsidRPr="00A114BB">
            <w:rPr>
              <w:rFonts w:cs="Times New Roman (Body CS)"/>
              <w:szCs w:val="16"/>
            </w:rPr>
            <w:fldChar w:fldCharType="separate"/>
          </w:r>
          <w:r>
            <w:rPr>
              <w:rFonts w:cs="Times New Roman (Body CS)"/>
              <w:szCs w:val="16"/>
            </w:rPr>
            <w:t>Preliminary</w:t>
          </w:r>
          <w:r w:rsidRPr="00A114BB">
            <w:rPr>
              <w:rFonts w:cs="Times New Roman (Body CS)"/>
              <w:szCs w:val="16"/>
            </w:rPr>
            <w:fldChar w:fldCharType="end"/>
          </w:r>
        </w:p>
      </w:tc>
    </w:tr>
    <w:tr w:rsidR="00B2221D" w:rsidRPr="00B414C7" w14:paraId="0F1A7483" w14:textId="77777777" w:rsidTr="006A7E65">
      <w:trPr>
        <w:trHeight w:val="196"/>
      </w:trPr>
      <w:tc>
        <w:tcPr>
          <w:tcW w:w="5670" w:type="dxa"/>
          <w:vMerge/>
        </w:tcPr>
        <w:p w14:paraId="0D01A14A" w14:textId="77777777" w:rsidR="00B2221D" w:rsidRPr="00B414C7" w:rsidRDefault="00B2221D" w:rsidP="00F13777">
          <w:pPr>
            <w:pStyle w:val="Header"/>
            <w:rPr>
              <w:rFonts w:cs="Times New Roman (Body CS)"/>
            </w:rPr>
          </w:pPr>
        </w:p>
      </w:tc>
      <w:tc>
        <w:tcPr>
          <w:tcW w:w="1985" w:type="dxa"/>
        </w:tcPr>
        <w:p w14:paraId="12953C1F" w14:textId="77777777" w:rsidR="00B2221D" w:rsidRPr="00A114BB" w:rsidRDefault="00B2221D" w:rsidP="00F13777">
          <w:pPr>
            <w:pStyle w:val="Header"/>
            <w:rPr>
              <w:rFonts w:cs="Times New Roman (Body CS)"/>
              <w:szCs w:val="16"/>
            </w:rPr>
          </w:pPr>
          <w:r w:rsidRPr="00A114BB">
            <w:rPr>
              <w:rFonts w:cs="Times New Roman (Body CS)"/>
              <w:szCs w:val="16"/>
            </w:rPr>
            <w:t>Confidentiality Level</w:t>
          </w:r>
        </w:p>
      </w:tc>
      <w:tc>
        <w:tcPr>
          <w:tcW w:w="2410" w:type="dxa"/>
        </w:tcPr>
        <w:p w14:paraId="0230397F" w14:textId="77777777" w:rsidR="00B2221D" w:rsidRPr="00A114BB" w:rsidRDefault="00B2221D"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IF </w:instrText>
          </w:r>
          <w:r w:rsidRPr="00A114BB">
            <w:rPr>
              <w:rFonts w:cs="Times New Roman (Body CS)"/>
              <w:szCs w:val="16"/>
            </w:rPr>
            <w:fldChar w:fldCharType="begin"/>
          </w:r>
          <w:r w:rsidRPr="00A114BB">
            <w:rPr>
              <w:rFonts w:cs="Times New Roman (Body CS)"/>
              <w:szCs w:val="16"/>
            </w:rPr>
            <w:instrText xml:space="preserve"> DOCPROPERTY "MXConfidentiality"  \* MERGEFORMAT </w:instrText>
          </w:r>
          <w:r w:rsidRPr="00A114BB">
            <w:rPr>
              <w:rFonts w:cs="Times New Roman (Body CS)"/>
              <w:szCs w:val="16"/>
            </w:rPr>
            <w:fldChar w:fldCharType="separate"/>
          </w:r>
          <w:r>
            <w:rPr>
              <w:rFonts w:cs="Times New Roman (Body CS)"/>
              <w:szCs w:val="16"/>
            </w:rPr>
            <w:instrText>Internal</w:instrText>
          </w:r>
          <w:r w:rsidRPr="00A114BB">
            <w:rPr>
              <w:rFonts w:cs="Times New Roman (Body CS)"/>
              <w:szCs w:val="16"/>
            </w:rPr>
            <w:fldChar w:fldCharType="end"/>
          </w:r>
          <w:r w:rsidRPr="00A114BB">
            <w:rPr>
              <w:rFonts w:cs="Times New Roman (Body CS)"/>
              <w:szCs w:val="16"/>
            </w:rPr>
            <w:instrText xml:space="preserve"> = "Confidential" </w:instrText>
          </w:r>
          <w:r w:rsidRPr="00A114BB">
            <w:rPr>
              <w:rFonts w:cs="Times New Roman (Body CS)"/>
              <w:b/>
              <w:color w:val="FF0000"/>
              <w:szCs w:val="16"/>
            </w:rPr>
            <w:fldChar w:fldCharType="begin"/>
          </w:r>
          <w:r w:rsidRPr="00A114BB">
            <w:rPr>
              <w:rFonts w:cs="Times New Roman (Body CS)"/>
              <w:b/>
              <w:color w:val="FF0000"/>
              <w:szCs w:val="16"/>
            </w:rPr>
            <w:instrText xml:space="preserve"> DOCPROPERTY "MXConfidentiality" \* MERGEFORMAT </w:instrText>
          </w:r>
          <w:r w:rsidRPr="00A114BB">
            <w:rPr>
              <w:rFonts w:cs="Times New Roman (Body CS)"/>
              <w:b/>
              <w:color w:val="FF0000"/>
              <w:szCs w:val="16"/>
            </w:rPr>
            <w:fldChar w:fldCharType="separate"/>
          </w:r>
          <w:r w:rsidRPr="00A114BB">
            <w:rPr>
              <w:rFonts w:cs="Times New Roman (Body CS)"/>
              <w:b/>
              <w:color w:val="FF0000"/>
              <w:szCs w:val="16"/>
            </w:rPr>
            <w:instrText>Confidential</w:instrText>
          </w:r>
          <w:r w:rsidRPr="00A114BB">
            <w:rPr>
              <w:rFonts w:cs="Times New Roman (Body CS)"/>
              <w:b/>
              <w:color w:val="FF0000"/>
              <w:szCs w:val="16"/>
            </w:rPr>
            <w:fldChar w:fldCharType="end"/>
          </w:r>
          <w:r w:rsidRPr="00A114BB">
            <w:rPr>
              <w:rFonts w:cs="Times New Roman (Body CS)"/>
              <w:szCs w:val="16"/>
            </w:rPr>
            <w:instrText xml:space="preserve">  </w:instrText>
          </w:r>
          <w:r w:rsidRPr="00A114BB">
            <w:rPr>
              <w:rFonts w:cs="Times New Roman (Body CS)"/>
              <w:szCs w:val="16"/>
            </w:rPr>
            <w:fldChar w:fldCharType="begin"/>
          </w:r>
          <w:r w:rsidRPr="00A114BB">
            <w:rPr>
              <w:rFonts w:cs="Times New Roman (Body CS)"/>
              <w:szCs w:val="16"/>
            </w:rPr>
            <w:instrText xml:space="preserve"> DOCPROPERTY "MXConfidentiality" \* MERGEFORMAT </w:instrText>
          </w:r>
          <w:r w:rsidRPr="00A114BB">
            <w:rPr>
              <w:rFonts w:cs="Times New Roman (Body CS)"/>
              <w:szCs w:val="16"/>
            </w:rPr>
            <w:fldChar w:fldCharType="separate"/>
          </w:r>
          <w:r>
            <w:rPr>
              <w:rFonts w:cs="Times New Roman (Body CS)"/>
              <w:szCs w:val="16"/>
            </w:rPr>
            <w:instrText>Internal</w:instrText>
          </w:r>
          <w:r w:rsidRPr="00A114BB">
            <w:rPr>
              <w:rFonts w:cs="Times New Roman (Body CS)"/>
              <w:szCs w:val="16"/>
            </w:rPr>
            <w:fldChar w:fldCharType="end"/>
          </w:r>
          <w:r w:rsidRPr="00A114BB">
            <w:rPr>
              <w:rFonts w:cs="Times New Roman (Body CS)"/>
              <w:szCs w:val="16"/>
            </w:rPr>
            <w:instrText xml:space="preserve"> </w:instrText>
          </w:r>
          <w:r w:rsidRPr="00A114BB">
            <w:rPr>
              <w:rFonts w:cs="Times New Roman (Body CS)"/>
              <w:szCs w:val="16"/>
            </w:rPr>
            <w:fldChar w:fldCharType="separate"/>
          </w:r>
          <w:r>
            <w:rPr>
              <w:rFonts w:cs="Times New Roman (Body CS)"/>
              <w:noProof/>
              <w:szCs w:val="16"/>
            </w:rPr>
            <w:t>Internal</w:t>
          </w:r>
          <w:r w:rsidRPr="00A114BB">
            <w:rPr>
              <w:rFonts w:cs="Times New Roman (Body CS)"/>
              <w:szCs w:val="16"/>
            </w:rPr>
            <w:fldChar w:fldCharType="end"/>
          </w:r>
        </w:p>
      </w:tc>
    </w:tr>
    <w:tr w:rsidR="00B2221D" w:rsidRPr="00B414C7" w14:paraId="4976257F" w14:textId="77777777" w:rsidTr="006A7E65">
      <w:trPr>
        <w:trHeight w:val="163"/>
      </w:trPr>
      <w:tc>
        <w:tcPr>
          <w:tcW w:w="5670" w:type="dxa"/>
          <w:vMerge/>
        </w:tcPr>
        <w:p w14:paraId="04F481FD" w14:textId="77777777" w:rsidR="00B2221D" w:rsidRPr="00B414C7" w:rsidRDefault="00B2221D" w:rsidP="00F13777">
          <w:pPr>
            <w:pStyle w:val="Header"/>
            <w:rPr>
              <w:rFonts w:cs="Times New Roman (Body CS)"/>
            </w:rPr>
          </w:pPr>
        </w:p>
      </w:tc>
      <w:tc>
        <w:tcPr>
          <w:tcW w:w="1985" w:type="dxa"/>
        </w:tcPr>
        <w:p w14:paraId="332B7A76" w14:textId="77777777" w:rsidR="00B2221D" w:rsidRPr="00A114BB" w:rsidRDefault="00B2221D" w:rsidP="00F13777">
          <w:pPr>
            <w:pStyle w:val="Header"/>
            <w:rPr>
              <w:rFonts w:cs="Times New Roman (Body CS)"/>
              <w:szCs w:val="16"/>
            </w:rPr>
          </w:pPr>
          <w:r w:rsidRPr="00A114BB">
            <w:rPr>
              <w:rFonts w:cs="Times New Roman (Body CS)"/>
              <w:szCs w:val="16"/>
            </w:rPr>
            <w:t>Page</w:t>
          </w:r>
        </w:p>
      </w:tc>
      <w:tc>
        <w:tcPr>
          <w:tcW w:w="2410" w:type="dxa"/>
        </w:tcPr>
        <w:p w14:paraId="2605D982" w14:textId="77777777" w:rsidR="00B2221D" w:rsidRPr="00A114BB" w:rsidRDefault="00B2221D" w:rsidP="00F13777">
          <w:pPr>
            <w:pStyle w:val="Header"/>
            <w:rPr>
              <w:rFonts w:cs="Times New Roman (Body CS)"/>
              <w:szCs w:val="16"/>
            </w:rPr>
          </w:pP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PAGE </w:instrText>
          </w:r>
          <w:r w:rsidRPr="00A114BB">
            <w:rPr>
              <w:rStyle w:val="PageNumber"/>
              <w:rFonts w:cs="Times New Roman (Body CS)"/>
              <w:sz w:val="16"/>
              <w:szCs w:val="16"/>
            </w:rPr>
            <w:fldChar w:fldCharType="separate"/>
          </w:r>
          <w:r>
            <w:rPr>
              <w:rStyle w:val="PageNumber"/>
              <w:rFonts w:cs="Times New Roman (Body CS)"/>
              <w:noProof/>
              <w:sz w:val="16"/>
              <w:szCs w:val="16"/>
            </w:rPr>
            <w:t>1</w:t>
          </w:r>
          <w:r w:rsidRPr="00A114BB">
            <w:rPr>
              <w:rStyle w:val="PageNumber"/>
              <w:rFonts w:cs="Times New Roman (Body CS)"/>
              <w:sz w:val="16"/>
              <w:szCs w:val="16"/>
            </w:rPr>
            <w:fldChar w:fldCharType="end"/>
          </w:r>
          <w:r w:rsidRPr="00A114BB">
            <w:rPr>
              <w:rStyle w:val="PageNumber"/>
              <w:rFonts w:cs="Times New Roman (Body CS)"/>
              <w:sz w:val="16"/>
              <w:szCs w:val="16"/>
            </w:rPr>
            <w:t xml:space="preserve"> (</w:t>
          </w: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NUMPAGES </w:instrText>
          </w:r>
          <w:r w:rsidRPr="00A114BB">
            <w:rPr>
              <w:rStyle w:val="PageNumber"/>
              <w:rFonts w:cs="Times New Roman (Body CS)"/>
              <w:sz w:val="16"/>
              <w:szCs w:val="16"/>
            </w:rPr>
            <w:fldChar w:fldCharType="separate"/>
          </w:r>
          <w:r>
            <w:rPr>
              <w:rStyle w:val="PageNumber"/>
              <w:rFonts w:cs="Times New Roman (Body CS)"/>
              <w:noProof/>
              <w:sz w:val="16"/>
              <w:szCs w:val="16"/>
            </w:rPr>
            <w:t>2</w:t>
          </w:r>
          <w:r w:rsidRPr="00A114BB">
            <w:rPr>
              <w:rStyle w:val="PageNumber"/>
              <w:rFonts w:cs="Times New Roman (Body CS)"/>
              <w:sz w:val="16"/>
              <w:szCs w:val="16"/>
            </w:rPr>
            <w:fldChar w:fldCharType="end"/>
          </w:r>
          <w:r w:rsidRPr="00A114BB">
            <w:rPr>
              <w:rStyle w:val="PageNumber"/>
              <w:rFonts w:cs="Times New Roman (Body CS)"/>
              <w:sz w:val="16"/>
              <w:szCs w:val="16"/>
            </w:rPr>
            <w:t>)</w:t>
          </w:r>
        </w:p>
      </w:tc>
    </w:tr>
  </w:tbl>
  <w:p w14:paraId="548947BC" w14:textId="77777777" w:rsidR="00B2221D" w:rsidRPr="00A114BB" w:rsidRDefault="00B2221D">
    <w:pPr>
      <w:rPr>
        <w:rFonts w:cs="Times New Roman (Body CS)"/>
        <w:sz w:val="16"/>
        <w:szCs w:val="16"/>
      </w:rPr>
    </w:pPr>
  </w:p>
  <w:p w14:paraId="3191E5E4" w14:textId="77777777" w:rsidR="00B2221D" w:rsidRDefault="00B22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82F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60F8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3491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4C7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264D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ADB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4A7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87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ABB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288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30AD3"/>
    <w:multiLevelType w:val="hybridMultilevel"/>
    <w:tmpl w:val="B39AAC78"/>
    <w:lvl w:ilvl="0" w:tplc="E72E938A">
      <w:start w:val="1"/>
      <w:numFmt w:val="lowerLetter"/>
      <w:pStyle w:val="BulletList4-letter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02F24"/>
    <w:multiLevelType w:val="hybridMultilevel"/>
    <w:tmpl w:val="A2BC7730"/>
    <w:lvl w:ilvl="0" w:tplc="F3940502">
      <w:start w:val="1"/>
      <w:numFmt w:val="bullet"/>
      <w:pStyle w:val="TopBulletList1-do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C0C58"/>
    <w:multiLevelType w:val="hybridMultilevel"/>
    <w:tmpl w:val="65BC464C"/>
    <w:lvl w:ilvl="0" w:tplc="A04AA414">
      <w:start w:val="12"/>
      <w:numFmt w:val="bullet"/>
      <w:lvlText w:val="-"/>
      <w:lvlJc w:val="left"/>
      <w:pPr>
        <w:ind w:left="1440" w:hanging="360"/>
      </w:pPr>
      <w:rPr>
        <w:rFonts w:ascii="Segoe UI Historic" w:eastAsiaTheme="minorEastAsia" w:hAnsi="Segoe UI Historic" w:cs="Segoe UI Historic"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5E5070A"/>
    <w:multiLevelType w:val="multilevel"/>
    <w:tmpl w:val="700854D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C3C86"/>
    <w:multiLevelType w:val="hybridMultilevel"/>
    <w:tmpl w:val="96CC7B3E"/>
    <w:lvl w:ilvl="0" w:tplc="57221CB0">
      <w:start w:val="1"/>
      <w:numFmt w:val="upperRoman"/>
      <w:pStyle w:val="BulletList6-romannumeral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3BCA"/>
    <w:multiLevelType w:val="hybridMultilevel"/>
    <w:tmpl w:val="259C5B8C"/>
    <w:lvl w:ilvl="0" w:tplc="54D27D58">
      <w:numFmt w:val="bullet"/>
      <w:lvlText w:val="-"/>
      <w:lvlJc w:val="left"/>
      <w:pPr>
        <w:ind w:left="720" w:hanging="360"/>
      </w:pPr>
      <w:rPr>
        <w:rFonts w:ascii="Segoe UI Historic" w:eastAsiaTheme="minorEastAsia"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63B20"/>
    <w:multiLevelType w:val="hybridMultilevel"/>
    <w:tmpl w:val="150AA88E"/>
    <w:lvl w:ilvl="0" w:tplc="A04AA414">
      <w:start w:val="12"/>
      <w:numFmt w:val="bullet"/>
      <w:lvlText w:val="-"/>
      <w:lvlJc w:val="left"/>
      <w:pPr>
        <w:ind w:left="720" w:hanging="360"/>
      </w:pPr>
      <w:rPr>
        <w:rFonts w:ascii="Segoe UI Historic" w:eastAsiaTheme="minorEastAsia"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400BF"/>
    <w:multiLevelType w:val="hybridMultilevel"/>
    <w:tmpl w:val="863EA0CC"/>
    <w:lvl w:ilvl="0" w:tplc="AEB4B0E2">
      <w:start w:val="1"/>
      <w:numFmt w:val="bullet"/>
      <w:pStyle w:val="BulletList5-circles"/>
      <w:lvlText w:val="o"/>
      <w:lvlJc w:val="left"/>
      <w:pPr>
        <w:ind w:left="530" w:hanging="360"/>
      </w:pPr>
      <w:rPr>
        <w:rFonts w:ascii="Courier New" w:hAnsi="Courier New" w:cs="Courier New"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20B76"/>
    <w:multiLevelType w:val="hybridMultilevel"/>
    <w:tmpl w:val="96C6CE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987C5D"/>
    <w:multiLevelType w:val="hybridMultilevel"/>
    <w:tmpl w:val="02420292"/>
    <w:lvl w:ilvl="0" w:tplc="FEF6E43C">
      <w:start w:val="1"/>
      <w:numFmt w:val="decimal"/>
      <w:pStyle w:val="Bulletnumber"/>
      <w:lvlText w:val="%1)"/>
      <w:lvlJc w:val="right"/>
      <w:pPr>
        <w:ind w:left="510" w:hanging="17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B574B"/>
    <w:multiLevelType w:val="hybridMultilevel"/>
    <w:tmpl w:val="084A5308"/>
    <w:lvl w:ilvl="0" w:tplc="C0CAABAC">
      <w:start w:val="1"/>
      <w:numFmt w:val="bullet"/>
      <w:pStyle w:val="BulletList3-dashes"/>
      <w:lvlText w:val="–"/>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B3E89"/>
    <w:multiLevelType w:val="hybridMultilevel"/>
    <w:tmpl w:val="9022FEB8"/>
    <w:lvl w:ilvl="0" w:tplc="5860EF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7828886">
    <w:abstractNumId w:val="14"/>
  </w:num>
  <w:num w:numId="2" w16cid:durableId="1254507947">
    <w:abstractNumId w:val="15"/>
  </w:num>
  <w:num w:numId="3" w16cid:durableId="2046252270">
    <w:abstractNumId w:val="10"/>
  </w:num>
  <w:num w:numId="4" w16cid:durableId="1780485216">
    <w:abstractNumId w:val="0"/>
  </w:num>
  <w:num w:numId="5" w16cid:durableId="888688078">
    <w:abstractNumId w:val="1"/>
  </w:num>
  <w:num w:numId="6" w16cid:durableId="712002824">
    <w:abstractNumId w:val="2"/>
  </w:num>
  <w:num w:numId="7" w16cid:durableId="1022825084">
    <w:abstractNumId w:val="3"/>
  </w:num>
  <w:num w:numId="8" w16cid:durableId="1869954099">
    <w:abstractNumId w:val="8"/>
  </w:num>
  <w:num w:numId="9" w16cid:durableId="759758902">
    <w:abstractNumId w:val="4"/>
  </w:num>
  <w:num w:numId="10" w16cid:durableId="1457604354">
    <w:abstractNumId w:val="5"/>
  </w:num>
  <w:num w:numId="11" w16cid:durableId="472602132">
    <w:abstractNumId w:val="6"/>
  </w:num>
  <w:num w:numId="12" w16cid:durableId="1665821465">
    <w:abstractNumId w:val="7"/>
  </w:num>
  <w:num w:numId="13" w16cid:durableId="5838147">
    <w:abstractNumId w:val="9"/>
  </w:num>
  <w:num w:numId="14" w16cid:durableId="191387430">
    <w:abstractNumId w:val="12"/>
  </w:num>
  <w:num w:numId="15" w16cid:durableId="604266812">
    <w:abstractNumId w:val="21"/>
  </w:num>
  <w:num w:numId="16" w16cid:durableId="756361872">
    <w:abstractNumId w:val="22"/>
  </w:num>
  <w:num w:numId="17" w16cid:durableId="748159587">
    <w:abstractNumId w:val="19"/>
  </w:num>
  <w:num w:numId="18" w16cid:durableId="1449934051">
    <w:abstractNumId w:val="16"/>
  </w:num>
  <w:num w:numId="19" w16cid:durableId="2008170228">
    <w:abstractNumId w:val="11"/>
  </w:num>
  <w:num w:numId="20" w16cid:durableId="152917264">
    <w:abstractNumId w:val="13"/>
  </w:num>
  <w:num w:numId="21" w16cid:durableId="1173714956">
    <w:abstractNumId w:val="17"/>
  </w:num>
  <w:num w:numId="22" w16cid:durableId="225530222">
    <w:abstractNumId w:val="18"/>
  </w:num>
  <w:num w:numId="23" w16cid:durableId="1935436847">
    <w:abstractNumId w:val="23"/>
  </w:num>
  <w:num w:numId="24" w16cid:durableId="13002519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CC"/>
    <w:rsid w:val="000054D5"/>
    <w:rsid w:val="000061D5"/>
    <w:rsid w:val="00011DFD"/>
    <w:rsid w:val="00014A63"/>
    <w:rsid w:val="00016E88"/>
    <w:rsid w:val="00016EC5"/>
    <w:rsid w:val="00020815"/>
    <w:rsid w:val="00031173"/>
    <w:rsid w:val="00031968"/>
    <w:rsid w:val="00035015"/>
    <w:rsid w:val="00035994"/>
    <w:rsid w:val="0003664D"/>
    <w:rsid w:val="00042A79"/>
    <w:rsid w:val="00043FCC"/>
    <w:rsid w:val="000473C0"/>
    <w:rsid w:val="000477DC"/>
    <w:rsid w:val="00054F1B"/>
    <w:rsid w:val="000555BD"/>
    <w:rsid w:val="000628C7"/>
    <w:rsid w:val="00065D53"/>
    <w:rsid w:val="000677CD"/>
    <w:rsid w:val="00070AA0"/>
    <w:rsid w:val="00072E42"/>
    <w:rsid w:val="000753F4"/>
    <w:rsid w:val="000842E2"/>
    <w:rsid w:val="000843AE"/>
    <w:rsid w:val="00085008"/>
    <w:rsid w:val="000858CE"/>
    <w:rsid w:val="000930B5"/>
    <w:rsid w:val="000942C3"/>
    <w:rsid w:val="000A273C"/>
    <w:rsid w:val="000A7836"/>
    <w:rsid w:val="000B124B"/>
    <w:rsid w:val="000B2178"/>
    <w:rsid w:val="000C18F4"/>
    <w:rsid w:val="000C1FC0"/>
    <w:rsid w:val="000C41A3"/>
    <w:rsid w:val="000C5AF2"/>
    <w:rsid w:val="000D201B"/>
    <w:rsid w:val="000E5F28"/>
    <w:rsid w:val="000E6EF8"/>
    <w:rsid w:val="000F53B4"/>
    <w:rsid w:val="0010524A"/>
    <w:rsid w:val="00120421"/>
    <w:rsid w:val="00124F44"/>
    <w:rsid w:val="001306FF"/>
    <w:rsid w:val="00131035"/>
    <w:rsid w:val="001323B7"/>
    <w:rsid w:val="001362D8"/>
    <w:rsid w:val="00136CE7"/>
    <w:rsid w:val="00146218"/>
    <w:rsid w:val="0014710B"/>
    <w:rsid w:val="00147315"/>
    <w:rsid w:val="00157EEC"/>
    <w:rsid w:val="001607AF"/>
    <w:rsid w:val="00160EE2"/>
    <w:rsid w:val="001730F0"/>
    <w:rsid w:val="00173F47"/>
    <w:rsid w:val="0017476C"/>
    <w:rsid w:val="00175ED9"/>
    <w:rsid w:val="00177FC0"/>
    <w:rsid w:val="001826F5"/>
    <w:rsid w:val="00185241"/>
    <w:rsid w:val="00186FA9"/>
    <w:rsid w:val="00190F62"/>
    <w:rsid w:val="001931B2"/>
    <w:rsid w:val="0019599A"/>
    <w:rsid w:val="00197B0F"/>
    <w:rsid w:val="00197F94"/>
    <w:rsid w:val="001B0377"/>
    <w:rsid w:val="001B39B8"/>
    <w:rsid w:val="001C36FC"/>
    <w:rsid w:val="001C4ABA"/>
    <w:rsid w:val="001C54CA"/>
    <w:rsid w:val="001C5E21"/>
    <w:rsid w:val="001C6A25"/>
    <w:rsid w:val="001C7398"/>
    <w:rsid w:val="001D043A"/>
    <w:rsid w:val="001D05EE"/>
    <w:rsid w:val="001D4E9D"/>
    <w:rsid w:val="001D620E"/>
    <w:rsid w:val="001E3F3C"/>
    <w:rsid w:val="001E6EDA"/>
    <w:rsid w:val="00201A94"/>
    <w:rsid w:val="002037EC"/>
    <w:rsid w:val="00211CDC"/>
    <w:rsid w:val="002164AE"/>
    <w:rsid w:val="00217411"/>
    <w:rsid w:val="0022446E"/>
    <w:rsid w:val="0023025B"/>
    <w:rsid w:val="002304E2"/>
    <w:rsid w:val="0023114C"/>
    <w:rsid w:val="00235F4E"/>
    <w:rsid w:val="00242AA5"/>
    <w:rsid w:val="00242FAC"/>
    <w:rsid w:val="00243088"/>
    <w:rsid w:val="002500FB"/>
    <w:rsid w:val="00252360"/>
    <w:rsid w:val="00252975"/>
    <w:rsid w:val="0025357B"/>
    <w:rsid w:val="00260305"/>
    <w:rsid w:val="00262F71"/>
    <w:rsid w:val="00264B87"/>
    <w:rsid w:val="00270E3C"/>
    <w:rsid w:val="00273B28"/>
    <w:rsid w:val="0028189C"/>
    <w:rsid w:val="00285F2B"/>
    <w:rsid w:val="002954E5"/>
    <w:rsid w:val="002B2C7F"/>
    <w:rsid w:val="002B70F6"/>
    <w:rsid w:val="002C70D5"/>
    <w:rsid w:val="002D2343"/>
    <w:rsid w:val="002D2750"/>
    <w:rsid w:val="002D2EFA"/>
    <w:rsid w:val="002F076C"/>
    <w:rsid w:val="002F7E58"/>
    <w:rsid w:val="00303C37"/>
    <w:rsid w:val="00304230"/>
    <w:rsid w:val="003046DF"/>
    <w:rsid w:val="00305962"/>
    <w:rsid w:val="003102AF"/>
    <w:rsid w:val="00315257"/>
    <w:rsid w:val="00315FB0"/>
    <w:rsid w:val="0031657B"/>
    <w:rsid w:val="0031689D"/>
    <w:rsid w:val="00317590"/>
    <w:rsid w:val="00331CFE"/>
    <w:rsid w:val="003348F7"/>
    <w:rsid w:val="00335112"/>
    <w:rsid w:val="0034130F"/>
    <w:rsid w:val="00344953"/>
    <w:rsid w:val="0034671F"/>
    <w:rsid w:val="00347453"/>
    <w:rsid w:val="00353311"/>
    <w:rsid w:val="0036298A"/>
    <w:rsid w:val="00366EE8"/>
    <w:rsid w:val="003727EF"/>
    <w:rsid w:val="00373B49"/>
    <w:rsid w:val="00374B12"/>
    <w:rsid w:val="00383BFC"/>
    <w:rsid w:val="00386554"/>
    <w:rsid w:val="003929DA"/>
    <w:rsid w:val="003959FE"/>
    <w:rsid w:val="00397071"/>
    <w:rsid w:val="003A7548"/>
    <w:rsid w:val="003B202C"/>
    <w:rsid w:val="003B2EBF"/>
    <w:rsid w:val="003C2A84"/>
    <w:rsid w:val="003C57FC"/>
    <w:rsid w:val="003D12B8"/>
    <w:rsid w:val="003D3160"/>
    <w:rsid w:val="003D37C7"/>
    <w:rsid w:val="003D60CF"/>
    <w:rsid w:val="003E00D7"/>
    <w:rsid w:val="003E177D"/>
    <w:rsid w:val="003F1BB9"/>
    <w:rsid w:val="003F1CAB"/>
    <w:rsid w:val="004007B3"/>
    <w:rsid w:val="00402F5A"/>
    <w:rsid w:val="0040412C"/>
    <w:rsid w:val="00404CD1"/>
    <w:rsid w:val="004050EA"/>
    <w:rsid w:val="00407229"/>
    <w:rsid w:val="004075C7"/>
    <w:rsid w:val="004215DD"/>
    <w:rsid w:val="004238D0"/>
    <w:rsid w:val="00430064"/>
    <w:rsid w:val="0043310A"/>
    <w:rsid w:val="004369D4"/>
    <w:rsid w:val="0044474C"/>
    <w:rsid w:val="00445C0E"/>
    <w:rsid w:val="00452E01"/>
    <w:rsid w:val="0045462D"/>
    <w:rsid w:val="00471781"/>
    <w:rsid w:val="00476481"/>
    <w:rsid w:val="004773BD"/>
    <w:rsid w:val="00487985"/>
    <w:rsid w:val="004904E6"/>
    <w:rsid w:val="00490A57"/>
    <w:rsid w:val="0049133D"/>
    <w:rsid w:val="00492DD8"/>
    <w:rsid w:val="00497AC2"/>
    <w:rsid w:val="004A1CFC"/>
    <w:rsid w:val="004A3103"/>
    <w:rsid w:val="004A31D9"/>
    <w:rsid w:val="004A4F05"/>
    <w:rsid w:val="004B1D92"/>
    <w:rsid w:val="004C432A"/>
    <w:rsid w:val="004C469D"/>
    <w:rsid w:val="004C4AA1"/>
    <w:rsid w:val="004D3F27"/>
    <w:rsid w:val="004F0B9D"/>
    <w:rsid w:val="004F4C8F"/>
    <w:rsid w:val="004F739A"/>
    <w:rsid w:val="004F7C32"/>
    <w:rsid w:val="00501132"/>
    <w:rsid w:val="00506A8F"/>
    <w:rsid w:val="00512DDD"/>
    <w:rsid w:val="005213DA"/>
    <w:rsid w:val="005226FB"/>
    <w:rsid w:val="00542EDB"/>
    <w:rsid w:val="005457E2"/>
    <w:rsid w:val="0054669E"/>
    <w:rsid w:val="0054701D"/>
    <w:rsid w:val="005506DD"/>
    <w:rsid w:val="005514CD"/>
    <w:rsid w:val="00553283"/>
    <w:rsid w:val="00555DDE"/>
    <w:rsid w:val="00572BF5"/>
    <w:rsid w:val="00573FB4"/>
    <w:rsid w:val="00577DEF"/>
    <w:rsid w:val="00580046"/>
    <w:rsid w:val="00590145"/>
    <w:rsid w:val="005908DC"/>
    <w:rsid w:val="00592DE2"/>
    <w:rsid w:val="00592EC6"/>
    <w:rsid w:val="00594AC6"/>
    <w:rsid w:val="005950D3"/>
    <w:rsid w:val="005A0CDF"/>
    <w:rsid w:val="005A151E"/>
    <w:rsid w:val="005A28E7"/>
    <w:rsid w:val="005A70F8"/>
    <w:rsid w:val="005B3118"/>
    <w:rsid w:val="005B3269"/>
    <w:rsid w:val="005B773A"/>
    <w:rsid w:val="005B7898"/>
    <w:rsid w:val="005C3A78"/>
    <w:rsid w:val="005C4957"/>
    <w:rsid w:val="005D029D"/>
    <w:rsid w:val="005E0EE1"/>
    <w:rsid w:val="005E1F83"/>
    <w:rsid w:val="005E2224"/>
    <w:rsid w:val="005E30BC"/>
    <w:rsid w:val="005E3756"/>
    <w:rsid w:val="005E6F4B"/>
    <w:rsid w:val="005F4240"/>
    <w:rsid w:val="005F6F5A"/>
    <w:rsid w:val="00610820"/>
    <w:rsid w:val="0061113E"/>
    <w:rsid w:val="00612DD8"/>
    <w:rsid w:val="0061309D"/>
    <w:rsid w:val="00622886"/>
    <w:rsid w:val="006272CA"/>
    <w:rsid w:val="0063007D"/>
    <w:rsid w:val="00633E5D"/>
    <w:rsid w:val="00642197"/>
    <w:rsid w:val="00642EDE"/>
    <w:rsid w:val="006502E3"/>
    <w:rsid w:val="00651807"/>
    <w:rsid w:val="00654066"/>
    <w:rsid w:val="00657C3E"/>
    <w:rsid w:val="00657C85"/>
    <w:rsid w:val="00667243"/>
    <w:rsid w:val="00674519"/>
    <w:rsid w:val="0068101C"/>
    <w:rsid w:val="006919F3"/>
    <w:rsid w:val="006928C7"/>
    <w:rsid w:val="00697DD3"/>
    <w:rsid w:val="006A1956"/>
    <w:rsid w:val="006A3080"/>
    <w:rsid w:val="006A5944"/>
    <w:rsid w:val="006A5BC0"/>
    <w:rsid w:val="006A6875"/>
    <w:rsid w:val="006A7E65"/>
    <w:rsid w:val="006B30DB"/>
    <w:rsid w:val="006B52B0"/>
    <w:rsid w:val="006C57A2"/>
    <w:rsid w:val="006C7F31"/>
    <w:rsid w:val="006D1AF9"/>
    <w:rsid w:val="006E7D12"/>
    <w:rsid w:val="006F10CE"/>
    <w:rsid w:val="006F6A4C"/>
    <w:rsid w:val="006F7BD6"/>
    <w:rsid w:val="007123E9"/>
    <w:rsid w:val="00720902"/>
    <w:rsid w:val="007211C5"/>
    <w:rsid w:val="00721815"/>
    <w:rsid w:val="00722FE4"/>
    <w:rsid w:val="007254F4"/>
    <w:rsid w:val="00725887"/>
    <w:rsid w:val="00725A92"/>
    <w:rsid w:val="007305EC"/>
    <w:rsid w:val="00732415"/>
    <w:rsid w:val="007406E1"/>
    <w:rsid w:val="00743AEF"/>
    <w:rsid w:val="00745A71"/>
    <w:rsid w:val="00751E4C"/>
    <w:rsid w:val="007635AC"/>
    <w:rsid w:val="00772938"/>
    <w:rsid w:val="00775653"/>
    <w:rsid w:val="0078423D"/>
    <w:rsid w:val="00790989"/>
    <w:rsid w:val="00791B26"/>
    <w:rsid w:val="00791C24"/>
    <w:rsid w:val="007976B2"/>
    <w:rsid w:val="007A0F21"/>
    <w:rsid w:val="007A42D7"/>
    <w:rsid w:val="007A5830"/>
    <w:rsid w:val="007B2408"/>
    <w:rsid w:val="007B401F"/>
    <w:rsid w:val="007B47A4"/>
    <w:rsid w:val="007B662E"/>
    <w:rsid w:val="007C2084"/>
    <w:rsid w:val="007E1EC1"/>
    <w:rsid w:val="007E5B32"/>
    <w:rsid w:val="007E6D3A"/>
    <w:rsid w:val="00810563"/>
    <w:rsid w:val="008175D5"/>
    <w:rsid w:val="008204CD"/>
    <w:rsid w:val="008228B4"/>
    <w:rsid w:val="00824C3E"/>
    <w:rsid w:val="00826BCF"/>
    <w:rsid w:val="00831DA9"/>
    <w:rsid w:val="00833B66"/>
    <w:rsid w:val="00835F28"/>
    <w:rsid w:val="00845AEA"/>
    <w:rsid w:val="0085038F"/>
    <w:rsid w:val="00851C89"/>
    <w:rsid w:val="00856794"/>
    <w:rsid w:val="008630DB"/>
    <w:rsid w:val="008718A9"/>
    <w:rsid w:val="00874290"/>
    <w:rsid w:val="00874B95"/>
    <w:rsid w:val="008812EE"/>
    <w:rsid w:val="0088297B"/>
    <w:rsid w:val="0088515A"/>
    <w:rsid w:val="0088672E"/>
    <w:rsid w:val="008906EE"/>
    <w:rsid w:val="00893822"/>
    <w:rsid w:val="008A27A3"/>
    <w:rsid w:val="008A3FA3"/>
    <w:rsid w:val="008A5076"/>
    <w:rsid w:val="008A536D"/>
    <w:rsid w:val="008B31A1"/>
    <w:rsid w:val="008B5185"/>
    <w:rsid w:val="008D25BA"/>
    <w:rsid w:val="008D3DB2"/>
    <w:rsid w:val="008E155D"/>
    <w:rsid w:val="008F066F"/>
    <w:rsid w:val="00903D9C"/>
    <w:rsid w:val="0090693E"/>
    <w:rsid w:val="00912352"/>
    <w:rsid w:val="00916ADC"/>
    <w:rsid w:val="00920923"/>
    <w:rsid w:val="009237CD"/>
    <w:rsid w:val="00923A51"/>
    <w:rsid w:val="00923A90"/>
    <w:rsid w:val="00933715"/>
    <w:rsid w:val="009379ED"/>
    <w:rsid w:val="00953356"/>
    <w:rsid w:val="00955DFC"/>
    <w:rsid w:val="0096709A"/>
    <w:rsid w:val="00967E2F"/>
    <w:rsid w:val="00970530"/>
    <w:rsid w:val="0097409D"/>
    <w:rsid w:val="009750A7"/>
    <w:rsid w:val="009755CA"/>
    <w:rsid w:val="00981BD2"/>
    <w:rsid w:val="00982FA1"/>
    <w:rsid w:val="00985131"/>
    <w:rsid w:val="00992B68"/>
    <w:rsid w:val="00993211"/>
    <w:rsid w:val="00995335"/>
    <w:rsid w:val="00997398"/>
    <w:rsid w:val="00997AAA"/>
    <w:rsid w:val="009A0E33"/>
    <w:rsid w:val="009A164E"/>
    <w:rsid w:val="009B19B3"/>
    <w:rsid w:val="009B6528"/>
    <w:rsid w:val="009C6F7F"/>
    <w:rsid w:val="009D052C"/>
    <w:rsid w:val="009D2687"/>
    <w:rsid w:val="009D35FE"/>
    <w:rsid w:val="009D5E88"/>
    <w:rsid w:val="009E3C83"/>
    <w:rsid w:val="009E3F58"/>
    <w:rsid w:val="009E61E5"/>
    <w:rsid w:val="009F6ED0"/>
    <w:rsid w:val="00A009A5"/>
    <w:rsid w:val="00A05713"/>
    <w:rsid w:val="00A066B2"/>
    <w:rsid w:val="00A114BB"/>
    <w:rsid w:val="00A32220"/>
    <w:rsid w:val="00A32B20"/>
    <w:rsid w:val="00A50DBF"/>
    <w:rsid w:val="00A537AF"/>
    <w:rsid w:val="00A60016"/>
    <w:rsid w:val="00A6386C"/>
    <w:rsid w:val="00A64411"/>
    <w:rsid w:val="00A727A0"/>
    <w:rsid w:val="00A74362"/>
    <w:rsid w:val="00A7510A"/>
    <w:rsid w:val="00A75EB8"/>
    <w:rsid w:val="00A77D54"/>
    <w:rsid w:val="00A808D3"/>
    <w:rsid w:val="00A81F40"/>
    <w:rsid w:val="00A82AAA"/>
    <w:rsid w:val="00A86EE6"/>
    <w:rsid w:val="00A933AF"/>
    <w:rsid w:val="00A951A1"/>
    <w:rsid w:val="00A95EF2"/>
    <w:rsid w:val="00AA5B2F"/>
    <w:rsid w:val="00AB0E5A"/>
    <w:rsid w:val="00AB2A99"/>
    <w:rsid w:val="00AD7BBA"/>
    <w:rsid w:val="00AE1DDA"/>
    <w:rsid w:val="00AE25F2"/>
    <w:rsid w:val="00AE3DF8"/>
    <w:rsid w:val="00AE64E6"/>
    <w:rsid w:val="00AE6835"/>
    <w:rsid w:val="00AF1283"/>
    <w:rsid w:val="00AF12BA"/>
    <w:rsid w:val="00AF738B"/>
    <w:rsid w:val="00B113C9"/>
    <w:rsid w:val="00B11F2E"/>
    <w:rsid w:val="00B135B4"/>
    <w:rsid w:val="00B148F2"/>
    <w:rsid w:val="00B21688"/>
    <w:rsid w:val="00B2221D"/>
    <w:rsid w:val="00B261E7"/>
    <w:rsid w:val="00B271E9"/>
    <w:rsid w:val="00B32E85"/>
    <w:rsid w:val="00B3653B"/>
    <w:rsid w:val="00B414C7"/>
    <w:rsid w:val="00B43D6F"/>
    <w:rsid w:val="00B4417C"/>
    <w:rsid w:val="00B478CF"/>
    <w:rsid w:val="00B5110E"/>
    <w:rsid w:val="00B519D4"/>
    <w:rsid w:val="00B55C5C"/>
    <w:rsid w:val="00B6075A"/>
    <w:rsid w:val="00B6279E"/>
    <w:rsid w:val="00B65748"/>
    <w:rsid w:val="00B73D2B"/>
    <w:rsid w:val="00B74BD6"/>
    <w:rsid w:val="00B77611"/>
    <w:rsid w:val="00B83C46"/>
    <w:rsid w:val="00B85CD4"/>
    <w:rsid w:val="00B9023A"/>
    <w:rsid w:val="00B919DD"/>
    <w:rsid w:val="00B91C78"/>
    <w:rsid w:val="00B943D0"/>
    <w:rsid w:val="00B94D3C"/>
    <w:rsid w:val="00BA1892"/>
    <w:rsid w:val="00BD1D8E"/>
    <w:rsid w:val="00BE142A"/>
    <w:rsid w:val="00BE286F"/>
    <w:rsid w:val="00BE32A3"/>
    <w:rsid w:val="00BE6CE6"/>
    <w:rsid w:val="00BF0B6C"/>
    <w:rsid w:val="00C03BAD"/>
    <w:rsid w:val="00C11E3A"/>
    <w:rsid w:val="00C163D8"/>
    <w:rsid w:val="00C17C98"/>
    <w:rsid w:val="00C226E5"/>
    <w:rsid w:val="00C24451"/>
    <w:rsid w:val="00C310CF"/>
    <w:rsid w:val="00C33064"/>
    <w:rsid w:val="00C4047C"/>
    <w:rsid w:val="00C437AB"/>
    <w:rsid w:val="00C45182"/>
    <w:rsid w:val="00C5152B"/>
    <w:rsid w:val="00C63132"/>
    <w:rsid w:val="00C715F2"/>
    <w:rsid w:val="00C7671C"/>
    <w:rsid w:val="00C800AC"/>
    <w:rsid w:val="00C8294B"/>
    <w:rsid w:val="00C93503"/>
    <w:rsid w:val="00C9446A"/>
    <w:rsid w:val="00CA35E0"/>
    <w:rsid w:val="00CA42EF"/>
    <w:rsid w:val="00CA50AD"/>
    <w:rsid w:val="00CB0EF1"/>
    <w:rsid w:val="00CB2DFF"/>
    <w:rsid w:val="00CB4D61"/>
    <w:rsid w:val="00CB4DA4"/>
    <w:rsid w:val="00CB7CCE"/>
    <w:rsid w:val="00CC775B"/>
    <w:rsid w:val="00CD7B48"/>
    <w:rsid w:val="00CE1793"/>
    <w:rsid w:val="00CE28E0"/>
    <w:rsid w:val="00D06FB7"/>
    <w:rsid w:val="00D12D5D"/>
    <w:rsid w:val="00D14FF3"/>
    <w:rsid w:val="00D2624E"/>
    <w:rsid w:val="00D31955"/>
    <w:rsid w:val="00D44FF5"/>
    <w:rsid w:val="00D477CA"/>
    <w:rsid w:val="00D54213"/>
    <w:rsid w:val="00D57877"/>
    <w:rsid w:val="00D60F22"/>
    <w:rsid w:val="00D614C9"/>
    <w:rsid w:val="00D63B22"/>
    <w:rsid w:val="00D70B48"/>
    <w:rsid w:val="00D72E26"/>
    <w:rsid w:val="00D828BE"/>
    <w:rsid w:val="00D84110"/>
    <w:rsid w:val="00D84B5E"/>
    <w:rsid w:val="00D87424"/>
    <w:rsid w:val="00D8762C"/>
    <w:rsid w:val="00D907E1"/>
    <w:rsid w:val="00D93D76"/>
    <w:rsid w:val="00D9584B"/>
    <w:rsid w:val="00DA238C"/>
    <w:rsid w:val="00DA3218"/>
    <w:rsid w:val="00DA3CB6"/>
    <w:rsid w:val="00DB4D6B"/>
    <w:rsid w:val="00DE0391"/>
    <w:rsid w:val="00DE2290"/>
    <w:rsid w:val="00DF0FC4"/>
    <w:rsid w:val="00DF1529"/>
    <w:rsid w:val="00E0378C"/>
    <w:rsid w:val="00E039BD"/>
    <w:rsid w:val="00E041F3"/>
    <w:rsid w:val="00E05F0C"/>
    <w:rsid w:val="00E11CF2"/>
    <w:rsid w:val="00E136AE"/>
    <w:rsid w:val="00E142D5"/>
    <w:rsid w:val="00E1676D"/>
    <w:rsid w:val="00E17340"/>
    <w:rsid w:val="00E247EA"/>
    <w:rsid w:val="00E356B2"/>
    <w:rsid w:val="00E36D78"/>
    <w:rsid w:val="00E4341F"/>
    <w:rsid w:val="00E46913"/>
    <w:rsid w:val="00E5291F"/>
    <w:rsid w:val="00E54A1F"/>
    <w:rsid w:val="00E738ED"/>
    <w:rsid w:val="00E779A7"/>
    <w:rsid w:val="00E80715"/>
    <w:rsid w:val="00E81101"/>
    <w:rsid w:val="00E83109"/>
    <w:rsid w:val="00E83BC1"/>
    <w:rsid w:val="00E84932"/>
    <w:rsid w:val="00E86F67"/>
    <w:rsid w:val="00E86F87"/>
    <w:rsid w:val="00E92B63"/>
    <w:rsid w:val="00E96BA5"/>
    <w:rsid w:val="00EA12A9"/>
    <w:rsid w:val="00EA2A65"/>
    <w:rsid w:val="00EA6960"/>
    <w:rsid w:val="00EB023E"/>
    <w:rsid w:val="00EB5DDF"/>
    <w:rsid w:val="00EC66EF"/>
    <w:rsid w:val="00EC79C9"/>
    <w:rsid w:val="00ED456F"/>
    <w:rsid w:val="00EE03D9"/>
    <w:rsid w:val="00EE0DC2"/>
    <w:rsid w:val="00EE4F1B"/>
    <w:rsid w:val="00EE5B27"/>
    <w:rsid w:val="00EF1EA0"/>
    <w:rsid w:val="00F0117D"/>
    <w:rsid w:val="00F0164C"/>
    <w:rsid w:val="00F01DF0"/>
    <w:rsid w:val="00F03A22"/>
    <w:rsid w:val="00F113BD"/>
    <w:rsid w:val="00F12CB4"/>
    <w:rsid w:val="00F13777"/>
    <w:rsid w:val="00F15B5F"/>
    <w:rsid w:val="00F245C1"/>
    <w:rsid w:val="00F3096F"/>
    <w:rsid w:val="00F31160"/>
    <w:rsid w:val="00F3394E"/>
    <w:rsid w:val="00F33E02"/>
    <w:rsid w:val="00F449CE"/>
    <w:rsid w:val="00F50025"/>
    <w:rsid w:val="00F50567"/>
    <w:rsid w:val="00F5375B"/>
    <w:rsid w:val="00F61F2E"/>
    <w:rsid w:val="00F624E3"/>
    <w:rsid w:val="00F64B85"/>
    <w:rsid w:val="00F67CD8"/>
    <w:rsid w:val="00F70F27"/>
    <w:rsid w:val="00F73526"/>
    <w:rsid w:val="00F73AE8"/>
    <w:rsid w:val="00F869A7"/>
    <w:rsid w:val="00F9152F"/>
    <w:rsid w:val="00FA0700"/>
    <w:rsid w:val="00FA6F2C"/>
    <w:rsid w:val="00FB17CB"/>
    <w:rsid w:val="00FB4FD0"/>
    <w:rsid w:val="00FC3FEF"/>
    <w:rsid w:val="00FC41F2"/>
    <w:rsid w:val="00FD04E0"/>
    <w:rsid w:val="00FD40DA"/>
    <w:rsid w:val="00FE3AE3"/>
    <w:rsid w:val="00FE3B2D"/>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9BD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B4D6B"/>
    <w:pPr>
      <w:spacing w:after="120"/>
    </w:pPr>
    <w:rPr>
      <w:rFonts w:ascii="Segoe UI Historic" w:eastAsiaTheme="minorEastAsia" w:hAnsi="Segoe UI Historic"/>
      <w:lang w:val="en-GB"/>
    </w:rPr>
  </w:style>
  <w:style w:type="paragraph" w:styleId="Heading1">
    <w:name w:val="heading 1"/>
    <w:next w:val="Normal"/>
    <w:link w:val="Heading1Char"/>
    <w:uiPriority w:val="29"/>
    <w:qFormat/>
    <w:rsid w:val="00E039BD"/>
    <w:pPr>
      <w:numPr>
        <w:numId w:val="1"/>
      </w:numPr>
      <w:spacing w:before="360" w:after="180" w:line="220" w:lineRule="atLeast"/>
      <w:ind w:left="680" w:hanging="680"/>
      <w:contextualSpacing/>
      <w:outlineLvl w:val="0"/>
    </w:pPr>
    <w:rPr>
      <w:rFonts w:ascii="Segoe UI Historic" w:eastAsiaTheme="majorEastAsia" w:hAnsi="Segoe UI Historic" w:cs="Times New Roman (Headings CS)"/>
      <w:b/>
      <w:bCs/>
      <w:caps/>
      <w:color w:val="000000" w:themeColor="text1"/>
      <w:sz w:val="26"/>
      <w:szCs w:val="28"/>
      <w:lang w:val="en-GB"/>
    </w:rPr>
  </w:style>
  <w:style w:type="paragraph" w:styleId="Heading2">
    <w:name w:val="heading 2"/>
    <w:next w:val="Normal"/>
    <w:link w:val="Heading2Char"/>
    <w:uiPriority w:val="29"/>
    <w:qFormat/>
    <w:rsid w:val="008A3FA3"/>
    <w:pPr>
      <w:keepNext/>
      <w:numPr>
        <w:ilvl w:val="1"/>
        <w:numId w:val="1"/>
      </w:numPr>
      <w:tabs>
        <w:tab w:val="left" w:pos="992"/>
      </w:tabs>
      <w:spacing w:before="240" w:after="120" w:line="220" w:lineRule="atLeast"/>
      <w:ind w:left="680" w:hanging="680"/>
      <w:outlineLvl w:val="1"/>
    </w:pPr>
    <w:rPr>
      <w:rFonts w:ascii="Segoe UI Historic" w:eastAsiaTheme="majorEastAsia" w:hAnsi="Segoe UI Historic" w:cstheme="majorBidi"/>
      <w:b/>
      <w:bCs/>
      <w:szCs w:val="26"/>
      <w:lang w:val="en-GB"/>
    </w:rPr>
  </w:style>
  <w:style w:type="paragraph" w:styleId="Heading3">
    <w:name w:val="heading 3"/>
    <w:next w:val="Normal"/>
    <w:link w:val="Heading3Char"/>
    <w:uiPriority w:val="29"/>
    <w:qFormat/>
    <w:rsid w:val="008A3FA3"/>
    <w:pPr>
      <w:keepNext/>
      <w:numPr>
        <w:ilvl w:val="2"/>
        <w:numId w:val="1"/>
      </w:numPr>
      <w:tabs>
        <w:tab w:val="left" w:pos="992"/>
      </w:tabs>
      <w:spacing w:before="240" w:after="60" w:line="220" w:lineRule="atLeast"/>
      <w:ind w:left="680" w:hanging="680"/>
      <w:outlineLvl w:val="2"/>
    </w:pPr>
    <w:rPr>
      <w:rFonts w:ascii="Segoe UI Historic" w:eastAsiaTheme="majorEastAsia" w:hAnsi="Segoe UI Historic" w:cstheme="majorBidi"/>
      <w:bCs/>
      <w:i/>
      <w:lang w:val="en-GB"/>
    </w:rPr>
  </w:style>
  <w:style w:type="paragraph" w:styleId="Heading4">
    <w:name w:val="heading 4"/>
    <w:next w:val="Normal"/>
    <w:link w:val="Heading4Char"/>
    <w:uiPriority w:val="29"/>
    <w:rsid w:val="008A3FA3"/>
    <w:pPr>
      <w:keepNext/>
      <w:tabs>
        <w:tab w:val="left" w:pos="992"/>
      </w:tabs>
      <w:spacing w:before="240" w:after="30" w:line="220" w:lineRule="atLeast"/>
      <w:outlineLvl w:val="3"/>
    </w:pPr>
    <w:rPr>
      <w:rFonts w:ascii="Segoe UI Historic" w:eastAsiaTheme="majorEastAsia" w:hAnsi="Segoe UI Historic" w:cs="Times New Roman (Headings CS)"/>
      <w:b/>
      <w:bCs/>
      <w:i/>
      <w:iCs/>
      <w:lang w:val="en-GB"/>
    </w:rPr>
  </w:style>
  <w:style w:type="paragraph" w:styleId="Heading5">
    <w:name w:val="heading 5"/>
    <w:next w:val="Normal"/>
    <w:link w:val="Heading5Char"/>
    <w:uiPriority w:val="9"/>
    <w:semiHidden/>
    <w:locked/>
    <w:rsid w:val="008A3FA3"/>
    <w:pPr>
      <w:keepNext/>
      <w:keepLines/>
      <w:spacing w:before="240" w:after="15"/>
      <w:outlineLvl w:val="4"/>
    </w:pPr>
    <w:rPr>
      <w:rFonts w:ascii="Segoe UI Historic" w:eastAsiaTheme="majorEastAsia" w:hAnsi="Segoe UI Historic" w:cs="Times New Roman (Headings CS)"/>
      <w:color w:val="000000" w:themeColor="text1"/>
      <w:sz w:val="20"/>
      <w:lang w:val="en-GB"/>
    </w:rPr>
  </w:style>
  <w:style w:type="paragraph" w:styleId="Heading6">
    <w:name w:val="heading 6"/>
    <w:basedOn w:val="Normal"/>
    <w:next w:val="Normal"/>
    <w:link w:val="Heading6Char"/>
    <w:uiPriority w:val="9"/>
    <w:semiHidden/>
    <w:locked/>
    <w:rsid w:val="008A3FA3"/>
    <w:pPr>
      <w:keepNext/>
      <w:keepLines/>
      <w:spacing w:before="120" w:after="0"/>
      <w:outlineLvl w:val="5"/>
    </w:pPr>
    <w:rPr>
      <w:rFonts w:eastAsiaTheme="majorEastAsia" w:cstheme="majorBidi"/>
      <w:i/>
      <w:color w:val="808080" w:themeColor="background1" w:themeShade="80"/>
      <w:sz w:val="20"/>
    </w:rPr>
  </w:style>
  <w:style w:type="paragraph" w:styleId="Heading7">
    <w:name w:val="heading 7"/>
    <w:basedOn w:val="Normal"/>
    <w:next w:val="Normal"/>
    <w:link w:val="Heading7Char"/>
    <w:uiPriority w:val="9"/>
    <w:semiHidden/>
    <w:unhideWhenUsed/>
    <w:locked/>
    <w:rsid w:val="00CD7B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locked/>
    <w:rsid w:val="00CD7B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locked/>
    <w:rsid w:val="00CD7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039BD"/>
    <w:rPr>
      <w:rFonts w:ascii="Segoe UI Historic" w:eastAsiaTheme="majorEastAsia" w:hAnsi="Segoe UI Historic" w:cs="Times New Roman (Headings CS)"/>
      <w:b/>
      <w:bCs/>
      <w:caps/>
      <w:color w:val="000000" w:themeColor="text1"/>
      <w:sz w:val="26"/>
      <w:szCs w:val="28"/>
      <w:lang w:val="en-GB"/>
    </w:rPr>
  </w:style>
  <w:style w:type="character" w:customStyle="1" w:styleId="Heading2Char">
    <w:name w:val="Heading 2 Char"/>
    <w:basedOn w:val="DefaultParagraphFont"/>
    <w:link w:val="Heading2"/>
    <w:uiPriority w:val="29"/>
    <w:rsid w:val="008A3FA3"/>
    <w:rPr>
      <w:rFonts w:ascii="Segoe UI Historic" w:eastAsiaTheme="majorEastAsia" w:hAnsi="Segoe UI Historic" w:cstheme="majorBidi"/>
      <w:b/>
      <w:bCs/>
      <w:szCs w:val="26"/>
      <w:lang w:val="en-GB"/>
    </w:rPr>
  </w:style>
  <w:style w:type="character" w:customStyle="1" w:styleId="Heading3Char">
    <w:name w:val="Heading 3 Char"/>
    <w:basedOn w:val="DefaultParagraphFont"/>
    <w:link w:val="Heading3"/>
    <w:uiPriority w:val="29"/>
    <w:rsid w:val="008A3FA3"/>
    <w:rPr>
      <w:rFonts w:ascii="Segoe UI Historic" w:eastAsiaTheme="majorEastAsia" w:hAnsi="Segoe UI Historic" w:cstheme="majorBidi"/>
      <w:bCs/>
      <w:i/>
      <w:lang w:val="en-GB"/>
    </w:rPr>
  </w:style>
  <w:style w:type="character" w:customStyle="1" w:styleId="Heading4Char">
    <w:name w:val="Heading 4 Char"/>
    <w:basedOn w:val="DefaultParagraphFont"/>
    <w:link w:val="Heading4"/>
    <w:uiPriority w:val="29"/>
    <w:rsid w:val="008A3FA3"/>
    <w:rPr>
      <w:rFonts w:ascii="Segoe UI Historic" w:eastAsiaTheme="majorEastAsia" w:hAnsi="Segoe UI Historic" w:cs="Times New Roman (Headings CS)"/>
      <w:b/>
      <w:bCs/>
      <w:i/>
      <w:iCs/>
      <w:lang w:val="en-GB"/>
    </w:rPr>
  </w:style>
  <w:style w:type="paragraph" w:styleId="FootnoteText">
    <w:name w:val="footnote text"/>
    <w:basedOn w:val="Normal"/>
    <w:link w:val="FootnoteTextChar"/>
    <w:uiPriority w:val="99"/>
    <w:unhideWhenUsed/>
    <w:locked/>
    <w:rsid w:val="00A114BB"/>
    <w:pPr>
      <w:spacing w:after="0"/>
    </w:pPr>
    <w:rPr>
      <w:sz w:val="15"/>
      <w:szCs w:val="24"/>
    </w:rPr>
  </w:style>
  <w:style w:type="character" w:customStyle="1" w:styleId="FootnoteTextChar">
    <w:name w:val="Footnote Text Char"/>
    <w:basedOn w:val="DefaultParagraphFont"/>
    <w:link w:val="FootnoteText"/>
    <w:uiPriority w:val="99"/>
    <w:rsid w:val="00A114BB"/>
    <w:rPr>
      <w:rFonts w:ascii="Segoe UI Historic" w:eastAsiaTheme="minorEastAsia" w:hAnsi="Segoe UI Historic"/>
      <w:sz w:val="15"/>
      <w:szCs w:val="24"/>
      <w:lang w:val="en-GB"/>
    </w:rPr>
  </w:style>
  <w:style w:type="character" w:styleId="FootnoteReference">
    <w:name w:val="footnote reference"/>
    <w:basedOn w:val="DefaultParagraphFont"/>
    <w:uiPriority w:val="99"/>
    <w:unhideWhenUsed/>
    <w:locked/>
    <w:rsid w:val="00A114BB"/>
    <w:rPr>
      <w:rFonts w:ascii="Segoe UI Historic" w:hAnsi="Segoe UI Historic"/>
      <w:sz w:val="15"/>
      <w:vertAlign w:val="superscript"/>
    </w:rPr>
  </w:style>
  <w:style w:type="paragraph" w:styleId="Caption">
    <w:name w:val="caption"/>
    <w:basedOn w:val="Normal"/>
    <w:next w:val="Normal"/>
    <w:uiPriority w:val="35"/>
    <w:semiHidden/>
    <w:qFormat/>
    <w:locked/>
    <w:rsid w:val="00856794"/>
    <w:pPr>
      <w:spacing w:after="200"/>
      <w:ind w:left="998" w:hanging="998"/>
    </w:pPr>
    <w:rPr>
      <w:b/>
      <w:bCs/>
      <w:sz w:val="20"/>
      <w:szCs w:val="20"/>
    </w:rPr>
  </w:style>
  <w:style w:type="paragraph" w:styleId="Header">
    <w:name w:val="header"/>
    <w:next w:val="Normal"/>
    <w:link w:val="HeaderChar"/>
    <w:uiPriority w:val="99"/>
    <w:unhideWhenUsed/>
    <w:rsid w:val="00A114BB"/>
    <w:rPr>
      <w:rFonts w:ascii="Segoe UI Historic" w:hAnsi="Segoe UI Historic"/>
      <w:sz w:val="16"/>
      <w:lang w:val="en-GB"/>
    </w:rPr>
  </w:style>
  <w:style w:type="character" w:customStyle="1" w:styleId="HeaderChar">
    <w:name w:val="Header Char"/>
    <w:basedOn w:val="DefaultParagraphFont"/>
    <w:link w:val="Header"/>
    <w:uiPriority w:val="99"/>
    <w:rsid w:val="00A114BB"/>
    <w:rPr>
      <w:rFonts w:ascii="Segoe UI Historic" w:hAnsi="Segoe UI Historic"/>
      <w:sz w:val="16"/>
      <w:lang w:val="en-GB"/>
    </w:rPr>
  </w:style>
  <w:style w:type="paragraph" w:styleId="Footer">
    <w:name w:val="footer"/>
    <w:next w:val="Normal"/>
    <w:link w:val="FooterChar"/>
    <w:unhideWhenUsed/>
    <w:rsid w:val="0090693E"/>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pPr>
    <w:rPr>
      <w:b/>
      <w:sz w:val="28"/>
      <w:lang w:val="en-GB"/>
    </w:rPr>
  </w:style>
  <w:style w:type="paragraph" w:styleId="ListParagraph">
    <w:name w:val="List Paragraph"/>
    <w:basedOn w:val="Normal"/>
    <w:uiPriority w:val="34"/>
    <w:semiHidden/>
    <w:locked/>
    <w:rsid w:val="008812EE"/>
    <w:pPr>
      <w:contextualSpacing/>
    </w:pPr>
  </w:style>
  <w:style w:type="paragraph" w:customStyle="1" w:styleId="ESS-SingleLinespacing">
    <w:name w:val="ESS-Single Line spacing"/>
    <w:uiPriority w:val="34"/>
    <w:rsid w:val="005E30BC"/>
    <w:rPr>
      <w:rFonts w:ascii="Calibri" w:hAnsi="Calibri"/>
      <w:sz w:val="24"/>
      <w:lang w:val="en-GB"/>
    </w:rPr>
  </w:style>
  <w:style w:type="table" w:styleId="TableGrid">
    <w:name w:val="Table Grid"/>
    <w:basedOn w:val="TableNormal"/>
    <w:uiPriority w:val="59"/>
    <w:locked/>
    <w:rsid w:val="00E8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0628C7"/>
    <w:pPr>
      <w:keepNext/>
      <w:spacing w:before="60" w:after="60" w:line="180" w:lineRule="atLeast"/>
    </w:pPr>
    <w:rPr>
      <w:rFonts w:ascii="Segoe UI Historic" w:hAnsi="Segoe UI Historic"/>
      <w:b/>
      <w:sz w:val="18"/>
      <w:lang w:val="en-GB"/>
    </w:rPr>
  </w:style>
  <w:style w:type="paragraph" w:customStyle="1" w:styleId="ESS-TableText">
    <w:name w:val="ESS-Table Text"/>
    <w:uiPriority w:val="34"/>
    <w:rsid w:val="00553283"/>
    <w:pPr>
      <w:spacing w:before="60" w:after="60" w:line="180" w:lineRule="atLeast"/>
    </w:pPr>
    <w:rPr>
      <w:rFonts w:ascii="Segoe UI Historic" w:hAnsi="Segoe UI Historic"/>
      <w:sz w:val="18"/>
      <w:lang w:val="en-GB"/>
    </w:rPr>
  </w:style>
  <w:style w:type="paragraph" w:customStyle="1" w:styleId="TableFigureTitle">
    <w:name w:val="Table/Figure Title"/>
    <w:next w:val="Normal"/>
    <w:uiPriority w:val="34"/>
    <w:qFormat/>
    <w:rsid w:val="009D5E88"/>
    <w:pPr>
      <w:keepNext/>
      <w:tabs>
        <w:tab w:val="left" w:pos="1412"/>
      </w:tabs>
      <w:spacing w:before="60" w:after="180" w:line="180" w:lineRule="atLeast"/>
      <w:ind w:left="1412" w:hanging="1412"/>
      <w:jc w:val="center"/>
    </w:pPr>
    <w:rPr>
      <w:rFonts w:ascii="Segoe UI Historic" w:hAnsi="Segoe UI Historic"/>
      <w:b/>
      <w:i/>
      <w:sz w:val="18"/>
      <w:lang w:val="en-GB"/>
    </w:rPr>
  </w:style>
  <w:style w:type="paragraph" w:customStyle="1" w:styleId="Headingunnumbered">
    <w:name w:val="Heading unnumbered"/>
    <w:next w:val="Normal"/>
    <w:uiPriority w:val="34"/>
    <w:qFormat/>
    <w:rsid w:val="007123E9"/>
    <w:pPr>
      <w:keepNext/>
      <w:spacing w:before="240" w:after="120"/>
    </w:pPr>
    <w:rPr>
      <w:rFonts w:ascii="Segoe UI Historic" w:hAnsi="Segoe UI Historic"/>
      <w:b/>
      <w:caps/>
      <w:sz w:val="26"/>
      <w:lang w:val="en-GB"/>
    </w:rPr>
  </w:style>
  <w:style w:type="paragraph" w:styleId="TableofFigures">
    <w:name w:val="table of figures"/>
    <w:next w:val="Normal"/>
    <w:uiPriority w:val="99"/>
    <w:rsid w:val="00CD7B48"/>
    <w:pPr>
      <w:tabs>
        <w:tab w:val="left" w:leader="dot" w:pos="992"/>
        <w:tab w:val="right" w:leader="dot" w:pos="8834"/>
      </w:tabs>
      <w:spacing w:before="120" w:after="120" w:line="220" w:lineRule="atLeast"/>
    </w:pPr>
    <w:rPr>
      <w:rFonts w:ascii="Segoe UI Historic" w:hAnsi="Segoe UI Historic"/>
      <w:lang w:val="en-GB"/>
    </w:rPr>
  </w:style>
  <w:style w:type="paragraph" w:styleId="TOC1">
    <w:name w:val="toc 1"/>
    <w:aliases w:val="TOC"/>
    <w:next w:val="Normal"/>
    <w:autoRedefine/>
    <w:uiPriority w:val="39"/>
    <w:rsid w:val="00E84932"/>
    <w:pPr>
      <w:tabs>
        <w:tab w:val="right" w:leader="dot" w:pos="9639"/>
      </w:tabs>
      <w:spacing w:before="60" w:after="60"/>
      <w:ind w:left="680" w:hanging="680"/>
    </w:pPr>
    <w:rPr>
      <w:rFonts w:ascii="Segoe UI Historic" w:hAnsi="Segoe UI Historic" w:cs="Times New Roman (Body CS)"/>
      <w:caps/>
      <w:noProof/>
      <w:lang w:val="en-GB"/>
    </w:rPr>
  </w:style>
  <w:style w:type="paragraph" w:styleId="TOC2">
    <w:name w:val="toc 2"/>
    <w:basedOn w:val="TOC1"/>
    <w:uiPriority w:val="39"/>
    <w:rsid w:val="00553283"/>
    <w:rPr>
      <w:caps w:val="0"/>
    </w:rPr>
  </w:style>
  <w:style w:type="paragraph" w:styleId="TOC3">
    <w:name w:val="toc 3"/>
    <w:basedOn w:val="TOC1"/>
    <w:uiPriority w:val="39"/>
    <w:rsid w:val="00553283"/>
    <w:rPr>
      <w:caps w:val="0"/>
    </w:rPr>
  </w:style>
  <w:style w:type="paragraph" w:styleId="TOC4">
    <w:name w:val="toc 4"/>
    <w:basedOn w:val="TOC1"/>
    <w:uiPriority w:val="39"/>
    <w:rsid w:val="00553283"/>
    <w:rPr>
      <w:caps w:val="0"/>
    </w:rPr>
  </w:style>
  <w:style w:type="paragraph" w:styleId="TOC5">
    <w:name w:val="toc 5"/>
    <w:basedOn w:val="TOC1"/>
    <w:uiPriority w:val="39"/>
    <w:rsid w:val="00553283"/>
    <w:pPr>
      <w:framePr w:wrap="around" w:vAnchor="text" w:hAnchor="text" w:y="1"/>
      <w:ind w:left="510" w:hanging="510"/>
    </w:pPr>
  </w:style>
  <w:style w:type="paragraph" w:styleId="TOC6">
    <w:name w:val="toc 6"/>
    <w:basedOn w:val="TOC4"/>
    <w:uiPriority w:val="39"/>
    <w:rsid w:val="00553283"/>
    <w:pPr>
      <w:ind w:left="510" w:hanging="510"/>
    </w:pPr>
  </w:style>
  <w:style w:type="paragraph" w:styleId="TOC7">
    <w:name w:val="toc 7"/>
    <w:basedOn w:val="TOC3"/>
    <w:uiPriority w:val="39"/>
    <w:rsid w:val="00553283"/>
    <w:pPr>
      <w:ind w:left="340" w:hanging="340"/>
    </w:pPr>
    <w:rPr>
      <w:caps/>
    </w:rPr>
  </w:style>
  <w:style w:type="paragraph" w:styleId="TOC8">
    <w:name w:val="toc 8"/>
    <w:basedOn w:val="TOC3"/>
    <w:uiPriority w:val="39"/>
    <w:rsid w:val="00553283"/>
    <w:pPr>
      <w:ind w:left="170" w:hanging="170"/>
    </w:pPr>
    <w:rPr>
      <w:caps/>
    </w:rPr>
  </w:style>
  <w:style w:type="paragraph" w:styleId="BalloonText">
    <w:name w:val="Balloon Text"/>
    <w:basedOn w:val="Normal"/>
    <w:link w:val="BalloonTextChar"/>
    <w:uiPriority w:val="99"/>
    <w:semiHidden/>
    <w:unhideWhenUsed/>
    <w:locked/>
    <w:rsid w:val="00B43D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rFonts w:ascii="Segoe UI Historic" w:hAnsi="Segoe UI Historic"/>
      <w:color w:val="0000FF" w:themeColor="hyperlink"/>
      <w:sz w:val="22"/>
      <w:u w:val="single"/>
    </w:rPr>
  </w:style>
  <w:style w:type="paragraph" w:styleId="TOC9">
    <w:name w:val="toc 9"/>
    <w:basedOn w:val="Normal"/>
    <w:next w:val="Normal"/>
    <w:autoRedefine/>
    <w:uiPriority w:val="39"/>
    <w:semiHidden/>
    <w:locked/>
    <w:rsid w:val="00553283"/>
    <w:pPr>
      <w:adjustRightInd w:val="0"/>
      <w:spacing w:before="60" w:after="60"/>
    </w:pPr>
  </w:style>
  <w:style w:type="character" w:styleId="PageNumber">
    <w:name w:val="page number"/>
    <w:basedOn w:val="DefaultParagraphFont"/>
    <w:uiPriority w:val="99"/>
    <w:unhideWhenUsed/>
    <w:rsid w:val="00CD7B48"/>
    <w:rPr>
      <w:rFonts w:ascii="Segoe UI Historic" w:hAnsi="Segoe UI Historic"/>
      <w:sz w:val="18"/>
    </w:rPr>
  </w:style>
  <w:style w:type="character" w:customStyle="1" w:styleId="Heading5Char">
    <w:name w:val="Heading 5 Char"/>
    <w:basedOn w:val="DefaultParagraphFont"/>
    <w:link w:val="Heading5"/>
    <w:uiPriority w:val="9"/>
    <w:semiHidden/>
    <w:rsid w:val="008A3FA3"/>
    <w:rPr>
      <w:rFonts w:ascii="Segoe UI Historic" w:eastAsiaTheme="majorEastAsia" w:hAnsi="Segoe UI Historic" w:cs="Times New Roman (Headings CS)"/>
      <w:color w:val="000000" w:themeColor="text1"/>
      <w:sz w:val="20"/>
      <w:lang w:val="en-GB"/>
    </w:rPr>
  </w:style>
  <w:style w:type="character" w:customStyle="1" w:styleId="Heading6Char">
    <w:name w:val="Heading 6 Char"/>
    <w:basedOn w:val="DefaultParagraphFont"/>
    <w:link w:val="Heading6"/>
    <w:uiPriority w:val="9"/>
    <w:semiHidden/>
    <w:rsid w:val="008A3FA3"/>
    <w:rPr>
      <w:rFonts w:ascii="Segoe UI Historic" w:eastAsiaTheme="majorEastAsia" w:hAnsi="Segoe UI Historic" w:cstheme="majorBidi"/>
      <w:i/>
      <w:color w:val="808080" w:themeColor="background1" w:themeShade="80"/>
      <w:sz w:val="20"/>
      <w:lang w:val="en-GB"/>
    </w:rPr>
  </w:style>
  <w:style w:type="character" w:customStyle="1" w:styleId="Heading7Char">
    <w:name w:val="Heading 7 Char"/>
    <w:basedOn w:val="DefaultParagraphFont"/>
    <w:link w:val="Heading7"/>
    <w:uiPriority w:val="9"/>
    <w:semiHidden/>
    <w:rsid w:val="00CD7B48"/>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uiPriority w:val="9"/>
    <w:semiHidden/>
    <w:rsid w:val="00CD7B4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7B4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semiHidden/>
    <w:locked/>
    <w:rsid w:val="00CD7B48"/>
    <w:pPr>
      <w:spacing w:before="240"/>
      <w:contextualSpacing/>
    </w:pPr>
    <w:rPr>
      <w:rFonts w:eastAsiaTheme="majorEastAsia" w:cstheme="majorBidi"/>
      <w:spacing w:val="-10"/>
      <w:kern w:val="28"/>
      <w:sz w:val="26"/>
      <w:szCs w:val="56"/>
    </w:rPr>
  </w:style>
  <w:style w:type="character" w:customStyle="1" w:styleId="TitleChar">
    <w:name w:val="Title Char"/>
    <w:basedOn w:val="DefaultParagraphFont"/>
    <w:link w:val="Title"/>
    <w:uiPriority w:val="10"/>
    <w:semiHidden/>
    <w:rsid w:val="00CD7B48"/>
    <w:rPr>
      <w:rFonts w:ascii="Segoe UI Historic" w:eastAsiaTheme="majorEastAsia" w:hAnsi="Segoe UI Historic" w:cstheme="majorBidi"/>
      <w:spacing w:val="-10"/>
      <w:kern w:val="28"/>
      <w:sz w:val="26"/>
      <w:szCs w:val="56"/>
      <w:lang w:val="en-GB"/>
    </w:rPr>
  </w:style>
  <w:style w:type="paragraph" w:styleId="Subtitle">
    <w:name w:val="Subtitle"/>
    <w:basedOn w:val="Normal"/>
    <w:next w:val="Normal"/>
    <w:link w:val="SubtitleChar"/>
    <w:uiPriority w:val="11"/>
    <w:locked/>
    <w:rsid w:val="00CD7B48"/>
    <w:pPr>
      <w:numPr>
        <w:ilvl w:val="1"/>
      </w:numPr>
      <w:spacing w:before="120"/>
    </w:pPr>
    <w:rPr>
      <w:color w:val="7F7F7F" w:themeColor="text1" w:themeTint="80"/>
      <w:spacing w:val="15"/>
    </w:rPr>
  </w:style>
  <w:style w:type="character" w:customStyle="1" w:styleId="SubtitleChar">
    <w:name w:val="Subtitle Char"/>
    <w:basedOn w:val="DefaultParagraphFont"/>
    <w:link w:val="Subtitle"/>
    <w:uiPriority w:val="11"/>
    <w:rsid w:val="00CD7B48"/>
    <w:rPr>
      <w:rFonts w:ascii="Segoe UI Historic" w:eastAsiaTheme="minorEastAsia" w:hAnsi="Segoe UI Historic"/>
      <w:color w:val="7F7F7F" w:themeColor="text1" w:themeTint="80"/>
      <w:spacing w:val="15"/>
      <w:sz w:val="22"/>
      <w:lang w:val="en-GB"/>
    </w:rPr>
  </w:style>
  <w:style w:type="character" w:styleId="SubtleEmphasis">
    <w:name w:val="Subtle Emphasis"/>
    <w:basedOn w:val="DefaultParagraphFont"/>
    <w:uiPriority w:val="19"/>
    <w:locked/>
    <w:rsid w:val="00CD7B48"/>
    <w:rPr>
      <w:rFonts w:ascii="Segoe UI Historic" w:hAnsi="Segoe UI Historic"/>
      <w:i/>
      <w:iCs/>
      <w:color w:val="404040" w:themeColor="text1" w:themeTint="BF"/>
      <w:sz w:val="22"/>
    </w:rPr>
  </w:style>
  <w:style w:type="character" w:styleId="Emphasis">
    <w:name w:val="Emphasis"/>
    <w:basedOn w:val="DefaultParagraphFont"/>
    <w:uiPriority w:val="20"/>
    <w:locked/>
    <w:rsid w:val="00CD7B48"/>
    <w:rPr>
      <w:rFonts w:ascii="Segoe UI Historic" w:hAnsi="Segoe UI Historic"/>
      <w:i/>
      <w:iCs/>
      <w:sz w:val="22"/>
    </w:rPr>
  </w:style>
  <w:style w:type="paragraph" w:styleId="NoSpacing">
    <w:name w:val="No Spacing"/>
    <w:uiPriority w:val="2"/>
    <w:locked/>
    <w:rsid w:val="00CD7B48"/>
    <w:rPr>
      <w:rFonts w:ascii="Segoe UI Historic" w:eastAsiaTheme="minorEastAsia" w:hAnsi="Segoe UI Historic"/>
      <w:lang w:val="en-GB"/>
    </w:rPr>
  </w:style>
  <w:style w:type="paragraph" w:styleId="TOAHeading">
    <w:name w:val="toa heading"/>
    <w:basedOn w:val="Normal"/>
    <w:next w:val="Normal"/>
    <w:uiPriority w:val="99"/>
    <w:semiHidden/>
    <w:unhideWhenUsed/>
    <w:locked/>
    <w:rsid w:val="00CD7B48"/>
    <w:pPr>
      <w:spacing w:before="120"/>
    </w:pPr>
    <w:rPr>
      <w:rFonts w:eastAsiaTheme="majorEastAsia" w:cstheme="majorBidi"/>
      <w:b/>
      <w:bCs/>
      <w:sz w:val="24"/>
      <w:szCs w:val="24"/>
    </w:rPr>
  </w:style>
  <w:style w:type="character" w:customStyle="1" w:styleId="UnresolvedMention1">
    <w:name w:val="Unresolved Mention1"/>
    <w:basedOn w:val="DefaultParagraphFont"/>
    <w:uiPriority w:val="99"/>
    <w:locked/>
    <w:rsid w:val="00CD7B48"/>
    <w:rPr>
      <w:rFonts w:ascii="Segoe UI Historic" w:hAnsi="Segoe UI Historic"/>
      <w:color w:val="605E5C"/>
      <w:sz w:val="22"/>
      <w:shd w:val="clear" w:color="auto" w:fill="E1DFDD"/>
    </w:rPr>
  </w:style>
  <w:style w:type="paragraph" w:styleId="TableofAuthorities">
    <w:name w:val="table of authorities"/>
    <w:basedOn w:val="Normal"/>
    <w:next w:val="Normal"/>
    <w:uiPriority w:val="99"/>
    <w:semiHidden/>
    <w:unhideWhenUsed/>
    <w:locked/>
    <w:rsid w:val="00CD7B48"/>
    <w:pPr>
      <w:spacing w:before="120"/>
    </w:pPr>
  </w:style>
  <w:style w:type="character" w:customStyle="1" w:styleId="SmartHyperlink1">
    <w:name w:val="Smart Hyperlink1"/>
    <w:basedOn w:val="DefaultParagraphFont"/>
    <w:uiPriority w:val="99"/>
    <w:semiHidden/>
    <w:unhideWhenUsed/>
    <w:rsid w:val="00CD7B48"/>
    <w:rPr>
      <w:rFonts w:ascii="Segoe UI Historic" w:hAnsi="Segoe UI Historic"/>
      <w:sz w:val="22"/>
      <w:u w:val="dotted"/>
    </w:rPr>
  </w:style>
  <w:style w:type="paragraph" w:styleId="Signature">
    <w:name w:val="Signature"/>
    <w:basedOn w:val="Normal"/>
    <w:link w:val="SignatureChar"/>
    <w:uiPriority w:val="99"/>
    <w:semiHidden/>
    <w:unhideWhenUsed/>
    <w:locked/>
    <w:rsid w:val="00CD7B48"/>
    <w:pPr>
      <w:spacing w:after="0"/>
      <w:ind w:left="2835"/>
    </w:pPr>
  </w:style>
  <w:style w:type="character" w:customStyle="1" w:styleId="SignatureChar">
    <w:name w:val="Signature Char"/>
    <w:basedOn w:val="DefaultParagraphFont"/>
    <w:link w:val="Signature"/>
    <w:uiPriority w:val="99"/>
    <w:semiHidden/>
    <w:rsid w:val="00CD7B48"/>
    <w:rPr>
      <w:rFonts w:ascii="Segoe UI Historic" w:eastAsiaTheme="minorEastAsia" w:hAnsi="Segoe UI Historic"/>
      <w:sz w:val="22"/>
      <w:lang w:val="en-GB"/>
    </w:rPr>
  </w:style>
  <w:style w:type="paragraph" w:styleId="Salutation">
    <w:name w:val="Salutation"/>
    <w:basedOn w:val="Normal"/>
    <w:next w:val="Normal"/>
    <w:link w:val="SalutationChar"/>
    <w:uiPriority w:val="99"/>
    <w:semiHidden/>
    <w:unhideWhenUsed/>
    <w:locked/>
    <w:rsid w:val="00CD7B48"/>
  </w:style>
  <w:style w:type="character" w:customStyle="1" w:styleId="SalutationChar">
    <w:name w:val="Salutation Char"/>
    <w:basedOn w:val="DefaultParagraphFont"/>
    <w:link w:val="Salutation"/>
    <w:uiPriority w:val="99"/>
    <w:semiHidden/>
    <w:rsid w:val="00CD7B48"/>
    <w:rPr>
      <w:rFonts w:ascii="Segoe UI Historic" w:eastAsiaTheme="minorEastAsia" w:hAnsi="Segoe UI Historic"/>
      <w:sz w:val="22"/>
      <w:lang w:val="en-GB"/>
    </w:rPr>
  </w:style>
  <w:style w:type="paragraph" w:styleId="PlainText">
    <w:name w:val="Plain Text"/>
    <w:basedOn w:val="Normal"/>
    <w:link w:val="PlainTextChar"/>
    <w:uiPriority w:val="99"/>
    <w:semiHidden/>
    <w:unhideWhenUsed/>
    <w:locked/>
    <w:rsid w:val="00CD7B48"/>
    <w:pPr>
      <w:spacing w:after="0"/>
    </w:pPr>
    <w:rPr>
      <w:rFonts w:cs="Consolas"/>
      <w:szCs w:val="21"/>
    </w:rPr>
  </w:style>
  <w:style w:type="character" w:customStyle="1" w:styleId="PlainTextChar">
    <w:name w:val="Plain Text Char"/>
    <w:basedOn w:val="DefaultParagraphFont"/>
    <w:link w:val="PlainText"/>
    <w:uiPriority w:val="99"/>
    <w:semiHidden/>
    <w:rsid w:val="00CD7B48"/>
    <w:rPr>
      <w:rFonts w:ascii="Segoe UI Historic" w:eastAsiaTheme="minorEastAsia" w:hAnsi="Segoe UI Historic" w:cs="Consolas"/>
      <w:sz w:val="22"/>
      <w:szCs w:val="21"/>
      <w:lang w:val="en-GB"/>
    </w:rPr>
  </w:style>
  <w:style w:type="character" w:styleId="PlaceholderText">
    <w:name w:val="Placeholder Text"/>
    <w:basedOn w:val="DefaultParagraphFont"/>
    <w:uiPriority w:val="99"/>
    <w:semiHidden/>
    <w:locked/>
    <w:rsid w:val="00CD7B48"/>
    <w:rPr>
      <w:rFonts w:ascii="Segoe UI Historic" w:hAnsi="Segoe UI Historic"/>
      <w:color w:val="A6A6A6" w:themeColor="background1" w:themeShade="A6"/>
      <w:sz w:val="22"/>
    </w:rPr>
  </w:style>
  <w:style w:type="paragraph" w:styleId="NoteHeading">
    <w:name w:val="Note Heading"/>
    <w:basedOn w:val="Normal"/>
    <w:next w:val="Normal"/>
    <w:link w:val="NoteHeadingChar"/>
    <w:uiPriority w:val="99"/>
    <w:semiHidden/>
    <w:unhideWhenUsed/>
    <w:locked/>
    <w:rsid w:val="00CD7B48"/>
    <w:pPr>
      <w:spacing w:after="0"/>
    </w:pPr>
  </w:style>
  <w:style w:type="character" w:customStyle="1" w:styleId="NoteHeadingChar">
    <w:name w:val="Note Heading Char"/>
    <w:basedOn w:val="DefaultParagraphFont"/>
    <w:link w:val="NoteHeading"/>
    <w:uiPriority w:val="99"/>
    <w:semiHidden/>
    <w:rsid w:val="00CD7B48"/>
    <w:rPr>
      <w:rFonts w:ascii="Segoe UI Historic" w:eastAsiaTheme="minorEastAsia" w:hAnsi="Segoe UI Historic"/>
      <w:sz w:val="22"/>
      <w:lang w:val="en-GB"/>
    </w:rPr>
  </w:style>
  <w:style w:type="paragraph" w:styleId="NormalIndent">
    <w:name w:val="Normal Indent"/>
    <w:basedOn w:val="Normal"/>
    <w:uiPriority w:val="99"/>
    <w:semiHidden/>
    <w:unhideWhenUsed/>
    <w:locked/>
    <w:rsid w:val="00CD7B48"/>
    <w:pPr>
      <w:snapToGrid w:val="0"/>
      <w:ind w:left="720"/>
    </w:pPr>
  </w:style>
  <w:style w:type="paragraph" w:styleId="NormalWeb">
    <w:name w:val="Normal (Web)"/>
    <w:basedOn w:val="Normal"/>
    <w:uiPriority w:val="99"/>
    <w:semiHidden/>
    <w:unhideWhenUsed/>
    <w:locked/>
    <w:rsid w:val="00CD7B48"/>
    <w:pPr>
      <w:spacing w:after="60"/>
    </w:pPr>
    <w:rPr>
      <w:sz w:val="18"/>
      <w:szCs w:val="24"/>
    </w:rPr>
  </w:style>
  <w:style w:type="character" w:customStyle="1" w:styleId="Mention1">
    <w:name w:val="Mention1"/>
    <w:basedOn w:val="DefaultParagraphFont"/>
    <w:uiPriority w:val="99"/>
    <w:semiHidden/>
    <w:unhideWhenUsed/>
    <w:rsid w:val="00CD7B48"/>
    <w:rPr>
      <w:rFonts w:ascii="Segoe UI Historic" w:hAnsi="Segoe UI Historic"/>
      <w:color w:val="A6A6A6" w:themeColor="background1" w:themeShade="A6"/>
      <w:sz w:val="22"/>
      <w:shd w:val="clear" w:color="auto" w:fill="E1DFDD"/>
    </w:rPr>
  </w:style>
  <w:style w:type="paragraph" w:styleId="MacroText">
    <w:name w:val="macro"/>
    <w:link w:val="MacroTextChar"/>
    <w:uiPriority w:val="99"/>
    <w:semiHidden/>
    <w:unhideWhenUsed/>
    <w:locked/>
    <w:rsid w:val="00CD7B48"/>
    <w:pPr>
      <w:tabs>
        <w:tab w:val="left" w:pos="480"/>
        <w:tab w:val="left" w:pos="960"/>
        <w:tab w:val="left" w:pos="1440"/>
        <w:tab w:val="left" w:pos="1920"/>
        <w:tab w:val="left" w:pos="2400"/>
        <w:tab w:val="left" w:pos="2880"/>
        <w:tab w:val="left" w:pos="3360"/>
        <w:tab w:val="left" w:pos="3840"/>
        <w:tab w:val="left" w:pos="4320"/>
      </w:tabs>
    </w:pPr>
    <w:rPr>
      <w:rFonts w:ascii="Segoe UI Historic" w:eastAsiaTheme="minorEastAsia" w:hAnsi="Segoe UI Historic" w:cs="Consolas"/>
      <w:sz w:val="20"/>
      <w:szCs w:val="20"/>
      <w:lang w:val="en-GB"/>
    </w:rPr>
  </w:style>
  <w:style w:type="character" w:customStyle="1" w:styleId="MacroTextChar">
    <w:name w:val="Macro Text Char"/>
    <w:basedOn w:val="DefaultParagraphFont"/>
    <w:link w:val="MacroText"/>
    <w:uiPriority w:val="99"/>
    <w:semiHidden/>
    <w:rsid w:val="00CD7B48"/>
    <w:rPr>
      <w:rFonts w:ascii="Segoe UI Historic" w:eastAsiaTheme="minorEastAsia" w:hAnsi="Segoe UI Historic" w:cs="Consolas"/>
      <w:sz w:val="20"/>
      <w:szCs w:val="20"/>
      <w:lang w:val="en-GB"/>
    </w:rPr>
  </w:style>
  <w:style w:type="paragraph" w:styleId="ListNumber5">
    <w:name w:val="List Number 5"/>
    <w:basedOn w:val="Normal"/>
    <w:uiPriority w:val="99"/>
    <w:semiHidden/>
    <w:unhideWhenUsed/>
    <w:locked/>
    <w:rsid w:val="0044474C"/>
    <w:pPr>
      <w:numPr>
        <w:numId w:val="4"/>
      </w:numPr>
      <w:spacing w:before="60" w:after="60"/>
      <w:ind w:left="850" w:hanging="170"/>
    </w:pPr>
  </w:style>
  <w:style w:type="paragraph" w:styleId="ListNumber4">
    <w:name w:val="List Number 4"/>
    <w:basedOn w:val="Normal"/>
    <w:uiPriority w:val="99"/>
    <w:semiHidden/>
    <w:unhideWhenUsed/>
    <w:locked/>
    <w:rsid w:val="0044474C"/>
    <w:pPr>
      <w:numPr>
        <w:numId w:val="5"/>
      </w:numPr>
      <w:spacing w:before="60" w:after="60"/>
      <w:ind w:left="680" w:hanging="170"/>
      <w:contextualSpacing/>
    </w:pPr>
  </w:style>
  <w:style w:type="paragraph" w:styleId="ListNumber3">
    <w:name w:val="List Number 3"/>
    <w:basedOn w:val="Normal"/>
    <w:uiPriority w:val="99"/>
    <w:semiHidden/>
    <w:unhideWhenUsed/>
    <w:locked/>
    <w:rsid w:val="0044474C"/>
    <w:pPr>
      <w:numPr>
        <w:numId w:val="6"/>
      </w:numPr>
      <w:spacing w:before="60" w:after="60"/>
      <w:ind w:left="510" w:hanging="170"/>
    </w:pPr>
  </w:style>
  <w:style w:type="paragraph" w:styleId="ListNumber2">
    <w:name w:val="List Number 2"/>
    <w:basedOn w:val="Normal"/>
    <w:uiPriority w:val="99"/>
    <w:semiHidden/>
    <w:unhideWhenUsed/>
    <w:locked/>
    <w:rsid w:val="0044474C"/>
    <w:pPr>
      <w:numPr>
        <w:numId w:val="7"/>
      </w:numPr>
      <w:spacing w:before="60" w:after="60"/>
      <w:ind w:left="340" w:hanging="170"/>
    </w:pPr>
  </w:style>
  <w:style w:type="paragraph" w:styleId="ListNumber">
    <w:name w:val="List Number"/>
    <w:basedOn w:val="Normal"/>
    <w:uiPriority w:val="99"/>
    <w:semiHidden/>
    <w:unhideWhenUsed/>
    <w:locked/>
    <w:rsid w:val="0044474C"/>
    <w:pPr>
      <w:numPr>
        <w:numId w:val="8"/>
      </w:numPr>
      <w:spacing w:before="60" w:after="60"/>
      <w:ind w:left="170" w:hanging="170"/>
    </w:pPr>
  </w:style>
  <w:style w:type="paragraph" w:styleId="ListContinue">
    <w:name w:val="List Continue"/>
    <w:basedOn w:val="Normal"/>
    <w:uiPriority w:val="99"/>
    <w:semiHidden/>
    <w:unhideWhenUsed/>
    <w:locked/>
    <w:rsid w:val="0044474C"/>
    <w:pPr>
      <w:spacing w:before="40" w:after="40"/>
    </w:pPr>
  </w:style>
  <w:style w:type="paragraph" w:styleId="ListContinue2">
    <w:name w:val="List Continue 2"/>
    <w:basedOn w:val="Normal"/>
    <w:uiPriority w:val="99"/>
    <w:semiHidden/>
    <w:unhideWhenUsed/>
    <w:locked/>
    <w:rsid w:val="0044474C"/>
    <w:pPr>
      <w:spacing w:before="60" w:after="60"/>
      <w:ind w:left="170"/>
    </w:pPr>
  </w:style>
  <w:style w:type="paragraph" w:styleId="ListContinue3">
    <w:name w:val="List Continue 3"/>
    <w:basedOn w:val="Normal"/>
    <w:uiPriority w:val="99"/>
    <w:semiHidden/>
    <w:unhideWhenUsed/>
    <w:locked/>
    <w:rsid w:val="0044474C"/>
    <w:pPr>
      <w:spacing w:before="60" w:after="60"/>
      <w:ind w:left="340"/>
    </w:pPr>
  </w:style>
  <w:style w:type="paragraph" w:styleId="ListContinue4">
    <w:name w:val="List Continue 4"/>
    <w:basedOn w:val="Normal"/>
    <w:uiPriority w:val="99"/>
    <w:semiHidden/>
    <w:unhideWhenUsed/>
    <w:locked/>
    <w:rsid w:val="0044474C"/>
    <w:pPr>
      <w:spacing w:before="60" w:after="60"/>
      <w:ind w:left="510"/>
    </w:pPr>
  </w:style>
  <w:style w:type="paragraph" w:styleId="ListContinue5">
    <w:name w:val="List Continue 5"/>
    <w:basedOn w:val="Normal"/>
    <w:uiPriority w:val="99"/>
    <w:semiHidden/>
    <w:unhideWhenUsed/>
    <w:locked/>
    <w:rsid w:val="0044474C"/>
    <w:pPr>
      <w:spacing w:before="60" w:after="60"/>
      <w:ind w:left="680"/>
    </w:pPr>
  </w:style>
  <w:style w:type="paragraph" w:styleId="ListBullet">
    <w:name w:val="List Bullet"/>
    <w:basedOn w:val="Normal"/>
    <w:autoRedefine/>
    <w:uiPriority w:val="99"/>
    <w:semiHidden/>
    <w:unhideWhenUsed/>
    <w:qFormat/>
    <w:locked/>
    <w:rsid w:val="0044474C"/>
    <w:pPr>
      <w:numPr>
        <w:numId w:val="13"/>
      </w:numPr>
      <w:spacing w:before="60" w:after="60"/>
      <w:ind w:left="170" w:hanging="170"/>
    </w:pPr>
  </w:style>
  <w:style w:type="paragraph" w:styleId="ListBullet2">
    <w:name w:val="List Bullet 2"/>
    <w:basedOn w:val="Normal"/>
    <w:uiPriority w:val="99"/>
    <w:semiHidden/>
    <w:unhideWhenUsed/>
    <w:locked/>
    <w:rsid w:val="0044474C"/>
    <w:pPr>
      <w:numPr>
        <w:numId w:val="12"/>
      </w:numPr>
      <w:spacing w:before="60" w:after="60"/>
      <w:ind w:left="340" w:hanging="170"/>
    </w:pPr>
  </w:style>
  <w:style w:type="paragraph" w:styleId="ListBullet3">
    <w:name w:val="List Bullet 3"/>
    <w:basedOn w:val="Normal"/>
    <w:uiPriority w:val="99"/>
    <w:semiHidden/>
    <w:unhideWhenUsed/>
    <w:locked/>
    <w:rsid w:val="0044474C"/>
    <w:pPr>
      <w:numPr>
        <w:numId w:val="11"/>
      </w:numPr>
      <w:spacing w:before="60" w:after="60"/>
      <w:ind w:left="510" w:hanging="170"/>
    </w:pPr>
  </w:style>
  <w:style w:type="paragraph" w:styleId="ListBullet4">
    <w:name w:val="List Bullet 4"/>
    <w:basedOn w:val="Normal"/>
    <w:uiPriority w:val="99"/>
    <w:semiHidden/>
    <w:unhideWhenUsed/>
    <w:locked/>
    <w:rsid w:val="0044474C"/>
    <w:pPr>
      <w:numPr>
        <w:numId w:val="10"/>
      </w:numPr>
      <w:spacing w:before="60" w:after="60"/>
      <w:ind w:left="680" w:hanging="170"/>
    </w:pPr>
  </w:style>
  <w:style w:type="paragraph" w:styleId="ListBullet5">
    <w:name w:val="List Bullet 5"/>
    <w:basedOn w:val="Normal"/>
    <w:uiPriority w:val="99"/>
    <w:semiHidden/>
    <w:unhideWhenUsed/>
    <w:locked/>
    <w:rsid w:val="0044474C"/>
    <w:pPr>
      <w:numPr>
        <w:numId w:val="9"/>
      </w:numPr>
      <w:spacing w:before="60" w:after="60"/>
      <w:ind w:left="850" w:hanging="170"/>
    </w:pPr>
  </w:style>
  <w:style w:type="paragraph" w:styleId="Index1">
    <w:name w:val="index 1"/>
    <w:basedOn w:val="Normal"/>
    <w:next w:val="Normal"/>
    <w:autoRedefine/>
    <w:uiPriority w:val="99"/>
    <w:semiHidden/>
    <w:unhideWhenUsed/>
    <w:qFormat/>
    <w:locked/>
    <w:rsid w:val="0044474C"/>
    <w:pPr>
      <w:spacing w:before="60" w:after="60"/>
      <w:ind w:left="170" w:hanging="170"/>
    </w:pPr>
  </w:style>
  <w:style w:type="paragraph" w:styleId="Index2">
    <w:name w:val="index 2"/>
    <w:basedOn w:val="Normal"/>
    <w:next w:val="Normal"/>
    <w:autoRedefine/>
    <w:uiPriority w:val="99"/>
    <w:semiHidden/>
    <w:unhideWhenUsed/>
    <w:locked/>
    <w:rsid w:val="0044474C"/>
    <w:pPr>
      <w:spacing w:before="60" w:after="60"/>
      <w:ind w:left="283" w:hanging="170"/>
    </w:pPr>
  </w:style>
  <w:style w:type="paragraph" w:styleId="Index3">
    <w:name w:val="index 3"/>
    <w:basedOn w:val="Normal"/>
    <w:next w:val="Normal"/>
    <w:autoRedefine/>
    <w:uiPriority w:val="99"/>
    <w:semiHidden/>
    <w:unhideWhenUsed/>
    <w:locked/>
    <w:rsid w:val="0044474C"/>
    <w:pPr>
      <w:spacing w:before="60" w:after="60"/>
      <w:ind w:left="397" w:hanging="170"/>
    </w:pPr>
  </w:style>
  <w:style w:type="paragraph" w:styleId="Index4">
    <w:name w:val="index 4"/>
    <w:basedOn w:val="Normal"/>
    <w:next w:val="Normal"/>
    <w:autoRedefine/>
    <w:uiPriority w:val="99"/>
    <w:semiHidden/>
    <w:unhideWhenUsed/>
    <w:locked/>
    <w:rsid w:val="0044474C"/>
    <w:pPr>
      <w:spacing w:before="60" w:after="60"/>
      <w:ind w:left="510" w:hanging="170"/>
    </w:pPr>
  </w:style>
  <w:style w:type="paragraph" w:styleId="Index5">
    <w:name w:val="index 5"/>
    <w:basedOn w:val="Normal"/>
    <w:next w:val="Normal"/>
    <w:autoRedefine/>
    <w:uiPriority w:val="99"/>
    <w:semiHidden/>
    <w:unhideWhenUsed/>
    <w:locked/>
    <w:rsid w:val="0044474C"/>
    <w:pPr>
      <w:spacing w:before="60" w:after="60"/>
      <w:ind w:left="624" w:hanging="170"/>
    </w:pPr>
  </w:style>
  <w:style w:type="paragraph" w:styleId="Index6">
    <w:name w:val="index 6"/>
    <w:basedOn w:val="Normal"/>
    <w:next w:val="Normal"/>
    <w:autoRedefine/>
    <w:uiPriority w:val="99"/>
    <w:semiHidden/>
    <w:unhideWhenUsed/>
    <w:locked/>
    <w:rsid w:val="00992B68"/>
    <w:pPr>
      <w:spacing w:before="20" w:after="20"/>
      <w:ind w:left="737" w:hanging="170"/>
    </w:pPr>
    <w:rPr>
      <w:i/>
    </w:rPr>
  </w:style>
  <w:style w:type="paragraph" w:styleId="Index7">
    <w:name w:val="index 7"/>
    <w:basedOn w:val="Normal"/>
    <w:next w:val="Normal"/>
    <w:autoRedefine/>
    <w:uiPriority w:val="99"/>
    <w:semiHidden/>
    <w:unhideWhenUsed/>
    <w:locked/>
    <w:rsid w:val="00992B68"/>
    <w:pPr>
      <w:spacing w:before="20" w:after="20"/>
      <w:ind w:left="850" w:hanging="170"/>
    </w:pPr>
    <w:rPr>
      <w:sz w:val="18"/>
    </w:rPr>
  </w:style>
  <w:style w:type="paragraph" w:styleId="Index8">
    <w:name w:val="index 8"/>
    <w:basedOn w:val="Normal"/>
    <w:next w:val="Normal"/>
    <w:autoRedefine/>
    <w:uiPriority w:val="99"/>
    <w:semiHidden/>
    <w:unhideWhenUsed/>
    <w:locked/>
    <w:rsid w:val="00992B68"/>
    <w:pPr>
      <w:spacing w:before="20" w:after="20"/>
      <w:ind w:left="964" w:hanging="170"/>
    </w:pPr>
    <w:rPr>
      <w:i/>
      <w:sz w:val="18"/>
    </w:rPr>
  </w:style>
  <w:style w:type="paragraph" w:styleId="Index9">
    <w:name w:val="index 9"/>
    <w:basedOn w:val="Normal"/>
    <w:next w:val="Normal"/>
    <w:autoRedefine/>
    <w:uiPriority w:val="99"/>
    <w:semiHidden/>
    <w:unhideWhenUsed/>
    <w:locked/>
    <w:rsid w:val="00992B68"/>
    <w:pPr>
      <w:spacing w:before="20" w:after="20"/>
      <w:ind w:left="1077" w:hanging="170"/>
    </w:pPr>
    <w:rPr>
      <w:color w:val="A6A6A6" w:themeColor="background1" w:themeShade="A6"/>
      <w:sz w:val="18"/>
    </w:rPr>
  </w:style>
  <w:style w:type="paragraph" w:styleId="IndexHeading">
    <w:name w:val="index heading"/>
    <w:basedOn w:val="Normal"/>
    <w:next w:val="Index1"/>
    <w:uiPriority w:val="99"/>
    <w:semiHidden/>
    <w:unhideWhenUsed/>
    <w:locked/>
    <w:rsid w:val="00992B68"/>
    <w:pPr>
      <w:spacing w:before="120"/>
    </w:pPr>
    <w:rPr>
      <w:rFonts w:eastAsiaTheme="majorEastAsia" w:cstheme="majorBidi"/>
      <w:b/>
      <w:bCs/>
    </w:rPr>
  </w:style>
  <w:style w:type="character" w:styleId="LineNumber">
    <w:name w:val="line number"/>
    <w:basedOn w:val="DefaultParagraphFont"/>
    <w:uiPriority w:val="99"/>
    <w:semiHidden/>
    <w:unhideWhenUsed/>
    <w:locked/>
    <w:rsid w:val="00992B68"/>
    <w:rPr>
      <w:rFonts w:ascii="Segoe UI Historic" w:hAnsi="Segoe UI Historic"/>
      <w:sz w:val="22"/>
    </w:rPr>
  </w:style>
  <w:style w:type="paragraph" w:styleId="List">
    <w:name w:val="List"/>
    <w:basedOn w:val="Normal"/>
    <w:autoRedefine/>
    <w:uiPriority w:val="99"/>
    <w:semiHidden/>
    <w:unhideWhenUsed/>
    <w:qFormat/>
    <w:locked/>
    <w:rsid w:val="00992B68"/>
    <w:pPr>
      <w:spacing w:before="60" w:after="60"/>
      <w:ind w:left="170" w:hanging="170"/>
    </w:pPr>
  </w:style>
  <w:style w:type="paragraph" w:styleId="List2">
    <w:name w:val="List 2"/>
    <w:basedOn w:val="Normal"/>
    <w:uiPriority w:val="99"/>
    <w:semiHidden/>
    <w:unhideWhenUsed/>
    <w:locked/>
    <w:rsid w:val="00992B68"/>
    <w:pPr>
      <w:spacing w:before="60" w:after="60"/>
      <w:ind w:left="340" w:hanging="170"/>
    </w:pPr>
  </w:style>
  <w:style w:type="paragraph" w:styleId="List3">
    <w:name w:val="List 3"/>
    <w:basedOn w:val="Normal"/>
    <w:uiPriority w:val="99"/>
    <w:semiHidden/>
    <w:unhideWhenUsed/>
    <w:locked/>
    <w:rsid w:val="00992B68"/>
    <w:pPr>
      <w:spacing w:before="60" w:after="60"/>
      <w:ind w:left="510" w:hanging="170"/>
    </w:pPr>
  </w:style>
  <w:style w:type="paragraph" w:styleId="List4">
    <w:name w:val="List 4"/>
    <w:basedOn w:val="Normal"/>
    <w:uiPriority w:val="99"/>
    <w:unhideWhenUsed/>
    <w:locked/>
    <w:rsid w:val="00992B68"/>
    <w:pPr>
      <w:spacing w:before="60" w:after="60"/>
      <w:ind w:left="680" w:hanging="170"/>
    </w:pPr>
  </w:style>
  <w:style w:type="paragraph" w:styleId="List5">
    <w:name w:val="List 5"/>
    <w:basedOn w:val="Normal"/>
    <w:uiPriority w:val="99"/>
    <w:semiHidden/>
    <w:unhideWhenUsed/>
    <w:locked/>
    <w:rsid w:val="00992B68"/>
    <w:pPr>
      <w:spacing w:before="60" w:after="60"/>
      <w:ind w:left="850" w:hanging="170"/>
    </w:pPr>
  </w:style>
  <w:style w:type="paragraph" w:customStyle="1" w:styleId="Bulletnumber">
    <w:name w:val="Bullet number"/>
    <w:basedOn w:val="ListParagraph"/>
    <w:rsid w:val="00F5375B"/>
    <w:pPr>
      <w:numPr>
        <w:numId w:val="15"/>
      </w:numPr>
      <w:spacing w:before="60" w:after="60"/>
      <w:contextualSpacing w:val="0"/>
    </w:pPr>
  </w:style>
  <w:style w:type="paragraph" w:customStyle="1" w:styleId="ESSTOC">
    <w:name w:val="ESS TOC"/>
    <w:basedOn w:val="TOC1"/>
    <w:next w:val="Normal"/>
    <w:qFormat/>
    <w:rsid w:val="004A3103"/>
  </w:style>
  <w:style w:type="paragraph" w:customStyle="1" w:styleId="TOCHeading1">
    <w:name w:val="TOC Heading1"/>
    <w:basedOn w:val="TOC1"/>
    <w:rsid w:val="00C310CF"/>
    <w:pPr>
      <w:spacing w:before="240" w:after="120"/>
      <w:ind w:left="0" w:firstLine="0"/>
    </w:pPr>
    <w:rPr>
      <w:b/>
      <w:sz w:val="26"/>
    </w:rPr>
  </w:style>
  <w:style w:type="paragraph" w:customStyle="1" w:styleId="TableList">
    <w:name w:val="Table List"/>
    <w:basedOn w:val="TableofFigures"/>
    <w:rsid w:val="00020815"/>
    <w:pPr>
      <w:tabs>
        <w:tab w:val="clear" w:pos="8834"/>
        <w:tab w:val="right" w:leader="dot" w:pos="9639"/>
      </w:tabs>
    </w:pPr>
  </w:style>
  <w:style w:type="paragraph" w:customStyle="1" w:styleId="TableHeading">
    <w:name w:val="Table Heading"/>
    <w:basedOn w:val="Headingunnumbered"/>
    <w:rsid w:val="00020815"/>
  </w:style>
  <w:style w:type="paragraph" w:customStyle="1" w:styleId="TopBulletList1-dots">
    <w:name w:val="Top Bullet List 1 - dots"/>
    <w:basedOn w:val="Normal"/>
    <w:qFormat/>
    <w:rsid w:val="00E84932"/>
    <w:pPr>
      <w:numPr>
        <w:numId w:val="14"/>
      </w:numPr>
      <w:adjustRightInd w:val="0"/>
      <w:spacing w:line="300" w:lineRule="atLeast"/>
      <w:ind w:left="510" w:hanging="340"/>
      <w:contextualSpacing/>
    </w:pPr>
    <w:rPr>
      <w:rFonts w:cs="Times New Roman (Body CS)"/>
    </w:rPr>
  </w:style>
  <w:style w:type="paragraph" w:customStyle="1" w:styleId="TopBulletList2-numbers">
    <w:name w:val="Top Bullet List 2 - numbers"/>
    <w:basedOn w:val="Bulletnumber"/>
    <w:qFormat/>
    <w:rsid w:val="003D12B8"/>
    <w:pPr>
      <w:spacing w:before="0" w:after="120" w:line="300" w:lineRule="atLeast"/>
      <w:contextualSpacing/>
    </w:pPr>
  </w:style>
  <w:style w:type="paragraph" w:customStyle="1" w:styleId="TableText">
    <w:name w:val="Table Text"/>
    <w:next w:val="Normal"/>
    <w:rsid w:val="00197B0F"/>
    <w:rPr>
      <w:rFonts w:ascii="Segoe UI Historic" w:hAnsi="Segoe UI Historic"/>
      <w:sz w:val="18"/>
      <w:lang w:val="en-GB"/>
    </w:rPr>
  </w:style>
  <w:style w:type="paragraph" w:customStyle="1" w:styleId="Table-NumberSummary">
    <w:name w:val="Table - Number/Summary"/>
    <w:next w:val="Normal"/>
    <w:rsid w:val="00197B0F"/>
    <w:rPr>
      <w:rFonts w:ascii="Segoe UI Historic" w:hAnsi="Segoe UI Historic"/>
      <w:b/>
      <w:i/>
      <w:sz w:val="18"/>
      <w:lang w:val="en-GB"/>
    </w:rPr>
  </w:style>
  <w:style w:type="paragraph" w:customStyle="1" w:styleId="FigureNumberSummary">
    <w:name w:val="Figure Number/Summary"/>
    <w:basedOn w:val="TableFigureTitle"/>
    <w:rsid w:val="00555DDE"/>
  </w:style>
  <w:style w:type="paragraph" w:customStyle="1" w:styleId="BulletList3-dashes">
    <w:name w:val="Bullet List 3 - dashes"/>
    <w:basedOn w:val="TopBulletList2-numbers"/>
    <w:rsid w:val="00C437AB"/>
    <w:pPr>
      <w:numPr>
        <w:numId w:val="16"/>
      </w:numPr>
    </w:pPr>
  </w:style>
  <w:style w:type="paragraph" w:customStyle="1" w:styleId="Space-standard">
    <w:name w:val="Space - standard"/>
    <w:rsid w:val="00C437AB"/>
    <w:rPr>
      <w:rFonts w:ascii="Segoe UI Historic" w:eastAsiaTheme="minorEastAsia" w:hAnsi="Segoe UI Historic"/>
      <w:lang w:val="en-GB"/>
    </w:rPr>
  </w:style>
  <w:style w:type="paragraph" w:customStyle="1" w:styleId="BulletList4-letters">
    <w:name w:val="Bullet List 4 - letters"/>
    <w:basedOn w:val="TopBulletList2-numbers"/>
    <w:rsid w:val="003D12B8"/>
    <w:pPr>
      <w:numPr>
        <w:numId w:val="19"/>
      </w:numPr>
    </w:pPr>
  </w:style>
  <w:style w:type="paragraph" w:customStyle="1" w:styleId="BulletList5-circles">
    <w:name w:val="Bullet List 5 - circles"/>
    <w:basedOn w:val="TopBulletList2-numbers"/>
    <w:rsid w:val="00C437AB"/>
    <w:pPr>
      <w:numPr>
        <w:numId w:val="17"/>
      </w:numPr>
    </w:pPr>
  </w:style>
  <w:style w:type="paragraph" w:customStyle="1" w:styleId="BulletList6-romannumerals">
    <w:name w:val="Bullet List 6 - roman numerals"/>
    <w:basedOn w:val="TopBulletList2-numbers"/>
    <w:rsid w:val="00F61F2E"/>
    <w:pPr>
      <w:numPr>
        <w:numId w:val="18"/>
      </w:numPr>
    </w:pPr>
  </w:style>
  <w:style w:type="paragraph" w:styleId="BlockText">
    <w:name w:val="Block Text"/>
    <w:aliases w:val="X5) Block Text"/>
    <w:basedOn w:val="Normal"/>
    <w:uiPriority w:val="99"/>
    <w:unhideWhenUsed/>
    <w:locked/>
    <w:rsid w:val="0028189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line="220" w:lineRule="atLeast"/>
      <w:ind w:left="680" w:right="680"/>
      <w:contextualSpacing/>
      <w:jc w:val="center"/>
    </w:pPr>
    <w:rPr>
      <w:i/>
      <w:iCs/>
      <w:color w:val="365F91" w:themeColor="accent1" w:themeShade="BF"/>
      <w:sz w:val="18"/>
    </w:rPr>
  </w:style>
  <w:style w:type="paragraph" w:styleId="EmailSignature">
    <w:name w:val="E-mail Signature"/>
    <w:basedOn w:val="Normal"/>
    <w:link w:val="EmailSignatureChar"/>
    <w:uiPriority w:val="99"/>
    <w:unhideWhenUsed/>
    <w:locked/>
    <w:rsid w:val="0028189C"/>
    <w:pPr>
      <w:spacing w:after="0"/>
    </w:pPr>
  </w:style>
  <w:style w:type="character" w:customStyle="1" w:styleId="EmailSignatureChar">
    <w:name w:val="Email Signature Char"/>
    <w:basedOn w:val="DefaultParagraphFont"/>
    <w:link w:val="EmailSignature"/>
    <w:uiPriority w:val="99"/>
    <w:rsid w:val="0028189C"/>
    <w:rPr>
      <w:rFonts w:ascii="Segoe UI Historic" w:eastAsiaTheme="minorEastAsia" w:hAnsi="Segoe UI Historic"/>
      <w:sz w:val="22"/>
      <w:lang w:val="en-GB"/>
    </w:rPr>
  </w:style>
  <w:style w:type="paragraph" w:customStyle="1" w:styleId="DocumentSectionHeading">
    <w:name w:val="Document Section Heading"/>
    <w:basedOn w:val="Headingunnumbered"/>
    <w:rsid w:val="00C310CF"/>
    <w:pPr>
      <w:spacing w:before="360"/>
      <w:contextualSpacing/>
    </w:pPr>
  </w:style>
  <w:style w:type="paragraph" w:customStyle="1" w:styleId="Documenttitle">
    <w:name w:val="Document title"/>
    <w:basedOn w:val="Headingunnumbered"/>
    <w:rsid w:val="008A3FA3"/>
    <w:pPr>
      <w:spacing w:before="120"/>
      <w:jc w:val="center"/>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855122980">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500000000020000"/>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000000000000000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39"/>
    <w:rsid w:val="00014964"/>
    <w:rsid w:val="0004680F"/>
    <w:rsid w:val="00120E9C"/>
    <w:rsid w:val="001551BA"/>
    <w:rsid w:val="00162C57"/>
    <w:rsid w:val="0025251F"/>
    <w:rsid w:val="002A52F4"/>
    <w:rsid w:val="002D1C37"/>
    <w:rsid w:val="0043283F"/>
    <w:rsid w:val="00481BD1"/>
    <w:rsid w:val="004909C9"/>
    <w:rsid w:val="004A14A5"/>
    <w:rsid w:val="005534B9"/>
    <w:rsid w:val="005712FB"/>
    <w:rsid w:val="00610225"/>
    <w:rsid w:val="00666667"/>
    <w:rsid w:val="006E437F"/>
    <w:rsid w:val="007529D2"/>
    <w:rsid w:val="00755472"/>
    <w:rsid w:val="00A40DEB"/>
    <w:rsid w:val="00C267B1"/>
    <w:rsid w:val="00C864F1"/>
    <w:rsid w:val="00C9405A"/>
    <w:rsid w:val="00CF2B74"/>
    <w:rsid w:val="00D53D39"/>
    <w:rsid w:val="00D63A75"/>
    <w:rsid w:val="00D6542A"/>
    <w:rsid w:val="00D72B89"/>
    <w:rsid w:val="00D813B1"/>
    <w:rsid w:val="00DD02F2"/>
    <w:rsid w:val="00E32D6E"/>
    <w:rsid w:val="00E9109C"/>
    <w:rsid w:val="00F353CD"/>
    <w:rsid w:val="00F604B6"/>
    <w:rsid w:val="00F6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 w:type="character" w:styleId="PlaceholderText">
    <w:name w:val="Placeholder Text"/>
    <w:basedOn w:val="DefaultParagraphFont"/>
    <w:uiPriority w:val="99"/>
    <w:semiHidden/>
    <w:rsid w:val="00755472"/>
    <w:rPr>
      <w:rFonts w:ascii="Segoe UI Historic" w:hAnsi="Segoe UI Historic"/>
      <w:color w:val="A6A6A6" w:themeColor="background1" w:themeShade="A6"/>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81DC56E2-A7C5-41CD-A3C9-C9FC41915EBB}">
  <ds:schemaRefs>
    <ds:schemaRef ds:uri="http://schemas.openxmlformats.org/officeDocument/2006/bibliography"/>
  </ds:schemaRefs>
</ds:datastoreItem>
</file>

<file path=customXml/itemProps2.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European Spallation Source ERIC</Company>
  <LinksUpToDate>false</LinksUpToDate>
  <CharactersWithSpaces>19542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Pascale Deen</cp:lastModifiedBy>
  <cp:revision>2</cp:revision>
  <cp:lastPrinted>2020-01-22T09:28:00Z</cp:lastPrinted>
  <dcterms:created xsi:type="dcterms:W3CDTF">2024-09-02T13:54:00Z</dcterms:created>
  <dcterms:modified xsi:type="dcterms:W3CDTF">2024-09-02T13:54:00Z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May 24, 2024</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adrien.perrichon@ess.eu</vt:lpwstr>
  </property>
  <property fmtid="{D5CDD505-2E9C-101B-9397-08002B2CF9AE}" pid="7" name="MXFirstName">
    <vt:lpwstr>Adrien</vt:lpwstr>
  </property>
  <property fmtid="{D5CDD505-2E9C-101B-9397-08002B2CF9AE}" pid="8" name="MXLastName">
    <vt:lpwstr>Perrichon</vt:lpwstr>
  </property>
  <property fmtid="{D5CDD505-2E9C-101B-9397-08002B2CF9AE}" pid="9" name="MXMiddleName">
    <vt:lpwstr>Unknown</vt:lpwstr>
  </property>
  <property fmtid="{D5CDD505-2E9C-101B-9397-08002B2CF9AE}" pid="10" name="MXPolicy.Localized">
    <vt:lpwstr>Controlled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adrienperrichon</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1</vt:lpwstr>
  </property>
  <property fmtid="{D5CDD505-2E9C-101B-9397-08002B2CF9AE}" pid="29" name="MXApprover">
    <vt:lpwstr/>
  </property>
  <property fmtid="{D5CDD505-2E9C-101B-9397-08002B2CF9AE}" pid="30" name="MXAuthor">
    <vt:lpwstr>Adrien Perrichon</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1</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ESS-5430095</vt:lpwstr>
  </property>
  <property fmtid="{D5CDD505-2E9C-101B-9397-08002B2CF9AE}" pid="43" name="MXOriginator">
    <vt:lpwstr>adrienperrichon</vt:lpwstr>
  </property>
  <property fmtid="{D5CDD505-2E9C-101B-9397-08002B2CF9AE}" pid="44" name="MXPolicy">
    <vt:lpwstr>Controlled Document</vt:lpwstr>
  </property>
  <property fmtid="{D5CDD505-2E9C-101B-9397-08002B2CF9AE}" pid="45" name="MXPrinted Date">
    <vt:lpwstr>May 24, 2024</vt:lpwstr>
  </property>
  <property fmtid="{D5CDD505-2E9C-101B-9397-08002B2CF9AE}" pid="46" name="MXPrinted Version">
    <vt:lpwstr>(1)</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Adrien Perrichon</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ESS-0060987</vt:lpwstr>
  </property>
  <property fmtid="{D5CDD505-2E9C-101B-9397-08002B2CF9AE}" pid="56" name="MXTemplateReleaseDate">
    <vt:lpwstr>Feb 20, 2020</vt:lpwstr>
  </property>
  <property fmtid="{D5CDD505-2E9C-101B-9397-08002B2CF9AE}" pid="57" name="MXTemplateRev">
    <vt:lpwstr>4</vt:lpwstr>
  </property>
  <property fmtid="{D5CDD505-2E9C-101B-9397-08002B2CF9AE}" pid="58" name="MXTemplateTitle">
    <vt:lpwstr>Report</vt:lpwstr>
  </property>
  <property fmtid="{D5CDD505-2E9C-101B-9397-08002B2CF9AE}" pid="59" name="MXTitle">
    <vt:lpwstr>VESPA rescoping options</vt:lpwstr>
  </property>
  <property fmtid="{D5CDD505-2E9C-101B-9397-08002B2CF9AE}" pid="60" name="MXType">
    <vt:lpwstr>dmg_REPORT</vt:lpwstr>
  </property>
  <property fmtid="{D5CDD505-2E9C-101B-9397-08002B2CF9AE}" pid="61" name="MXType.Localized">
    <vt:lpwstr>Report</vt:lpwstr>
  </property>
  <property fmtid="{D5CDD505-2E9C-101B-9397-08002B2CF9AE}" pid="62" name="MXVersion">
    <vt:lpwstr>1</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May 24, 2024</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ies>
</file>