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7CB2BB" w14:textId="77777777" w:rsidR="00FB0E86" w:rsidRDefault="00FB0E86" w:rsidP="00D214CE">
      <w:pPr>
        <w:rPr>
          <w:rFonts w:cs="Segoe UI Historic"/>
          <w:lang w:val="en-GB"/>
        </w:rPr>
      </w:pPr>
    </w:p>
    <w:p w14:paraId="533F7B2E" w14:textId="1A16E36C" w:rsidR="00D66850" w:rsidRPr="004B05A4" w:rsidRDefault="00D66850" w:rsidP="00FB4ADC">
      <w:pPr>
        <w:ind w:left="5216" w:firstLine="1304"/>
        <w:rPr>
          <w:rFonts w:ascii="Times New Roman" w:hAnsi="Times New Roman"/>
          <w:sz w:val="24"/>
          <w:szCs w:val="24"/>
          <w:lang w:val="en-GB"/>
        </w:rPr>
      </w:pPr>
      <w:r w:rsidRPr="004B05A4">
        <w:rPr>
          <w:rFonts w:ascii="Times New Roman" w:hAnsi="Times New Roman"/>
          <w:sz w:val="24"/>
          <w:szCs w:val="24"/>
          <w:lang w:val="en-GB"/>
        </w:rPr>
        <w:t>4</w:t>
      </w:r>
      <w:r w:rsidRPr="004B05A4">
        <w:rPr>
          <w:rFonts w:ascii="Times New Roman" w:hAnsi="Times New Roman"/>
          <w:sz w:val="24"/>
          <w:szCs w:val="24"/>
          <w:vertAlign w:val="superscript"/>
          <w:lang w:val="en-GB"/>
        </w:rPr>
        <w:t>th</w:t>
      </w:r>
      <w:r w:rsidRPr="004B05A4">
        <w:rPr>
          <w:rFonts w:ascii="Times New Roman" w:hAnsi="Times New Roman"/>
          <w:sz w:val="24"/>
          <w:szCs w:val="24"/>
          <w:lang w:val="en-GB"/>
        </w:rPr>
        <w:t xml:space="preserve"> April 2025</w:t>
      </w:r>
    </w:p>
    <w:p w14:paraId="11DC39FE" w14:textId="3FBAA4D9" w:rsidR="000B7D24" w:rsidRDefault="000B7D24" w:rsidP="00D214CE">
      <w:pPr>
        <w:rPr>
          <w:rFonts w:cs="Segoe UI Historic"/>
          <w:lang w:val="en-GB"/>
        </w:rPr>
      </w:pPr>
    </w:p>
    <w:p w14:paraId="7D37913E" w14:textId="77777777" w:rsidR="00C70539" w:rsidRDefault="00C70539" w:rsidP="00D214CE">
      <w:pPr>
        <w:rPr>
          <w:rFonts w:cs="Segoe UI Historic"/>
          <w:lang w:val="en-GB"/>
        </w:rPr>
      </w:pPr>
    </w:p>
    <w:p w14:paraId="7ADAC50C" w14:textId="75ACB8F4" w:rsidR="00FB4ADC" w:rsidRPr="002C651C" w:rsidRDefault="00FB4ADC" w:rsidP="00D214CE">
      <w:pPr>
        <w:rPr>
          <w:rFonts w:ascii="Times New Roman" w:hAnsi="Times New Roman"/>
          <w:sz w:val="24"/>
          <w:szCs w:val="24"/>
          <w:lang w:val="en-GB"/>
        </w:rPr>
      </w:pPr>
      <w:r w:rsidRPr="002C651C">
        <w:rPr>
          <w:rFonts w:ascii="Times New Roman" w:hAnsi="Times New Roman"/>
          <w:sz w:val="24"/>
          <w:szCs w:val="24"/>
          <w:lang w:val="en-GB"/>
        </w:rPr>
        <w:t xml:space="preserve">Response to </w:t>
      </w:r>
      <w:r w:rsidR="007932D2" w:rsidRPr="002C651C">
        <w:rPr>
          <w:rFonts w:ascii="Times New Roman" w:hAnsi="Times New Roman"/>
          <w:sz w:val="24"/>
          <w:szCs w:val="24"/>
          <w:lang w:val="en-GB"/>
        </w:rPr>
        <w:t xml:space="preserve">Spectroscopy </w:t>
      </w:r>
      <w:r w:rsidRPr="002C651C">
        <w:rPr>
          <w:rFonts w:ascii="Times New Roman" w:hAnsi="Times New Roman"/>
          <w:sz w:val="24"/>
          <w:szCs w:val="24"/>
          <w:lang w:val="en-GB"/>
        </w:rPr>
        <w:t xml:space="preserve">STAP comments </w:t>
      </w:r>
      <w:r w:rsidR="007932D2" w:rsidRPr="002C651C">
        <w:rPr>
          <w:rFonts w:ascii="Times New Roman" w:hAnsi="Times New Roman"/>
          <w:sz w:val="24"/>
          <w:szCs w:val="24"/>
          <w:lang w:val="en-GB"/>
        </w:rPr>
        <w:t xml:space="preserve">October </w:t>
      </w:r>
      <w:r w:rsidRPr="002C651C">
        <w:rPr>
          <w:rFonts w:ascii="Times New Roman" w:hAnsi="Times New Roman"/>
          <w:sz w:val="24"/>
          <w:szCs w:val="24"/>
          <w:lang w:val="en-GB"/>
        </w:rPr>
        <w:t>2024</w:t>
      </w:r>
    </w:p>
    <w:p w14:paraId="16355D85" w14:textId="62513298" w:rsidR="00A80F07" w:rsidRPr="002C651C" w:rsidRDefault="00A80F07" w:rsidP="00D214CE">
      <w:pPr>
        <w:rPr>
          <w:rFonts w:ascii="Times New Roman" w:hAnsi="Times New Roman"/>
          <w:b/>
          <w:bCs/>
          <w:sz w:val="24"/>
          <w:szCs w:val="24"/>
          <w:lang w:val="en-GB"/>
        </w:rPr>
      </w:pPr>
      <w:r w:rsidRPr="002C651C">
        <w:rPr>
          <w:rFonts w:ascii="Times New Roman" w:hAnsi="Times New Roman"/>
          <w:b/>
          <w:bCs/>
          <w:sz w:val="24"/>
          <w:szCs w:val="24"/>
          <w:lang w:val="en-GB"/>
        </w:rPr>
        <w:t>Re</w:t>
      </w:r>
      <w:r w:rsidR="00E31411" w:rsidRPr="002C651C">
        <w:rPr>
          <w:rFonts w:ascii="Times New Roman" w:hAnsi="Times New Roman"/>
          <w:b/>
          <w:bCs/>
          <w:sz w:val="24"/>
          <w:szCs w:val="24"/>
          <w:lang w:val="en-GB"/>
        </w:rPr>
        <w:t>s</w:t>
      </w:r>
      <w:r w:rsidRPr="002C651C">
        <w:rPr>
          <w:rFonts w:ascii="Times New Roman" w:hAnsi="Times New Roman"/>
          <w:b/>
          <w:bCs/>
          <w:sz w:val="24"/>
          <w:szCs w:val="24"/>
          <w:lang w:val="en-GB"/>
        </w:rPr>
        <w:t>coping</w:t>
      </w:r>
      <w:r w:rsidR="008905F3">
        <w:rPr>
          <w:rFonts w:ascii="Times New Roman" w:hAnsi="Times New Roman"/>
          <w:b/>
          <w:bCs/>
          <w:sz w:val="24"/>
          <w:szCs w:val="24"/>
          <w:lang w:val="en-GB"/>
        </w:rPr>
        <w:t>:</w:t>
      </w:r>
    </w:p>
    <w:p w14:paraId="54713CE8" w14:textId="5FECF457" w:rsidR="006A7158" w:rsidRPr="002C651C" w:rsidRDefault="00C70539" w:rsidP="00D214CE">
      <w:pPr>
        <w:rPr>
          <w:rFonts w:ascii="Times New Roman" w:hAnsi="Times New Roman"/>
          <w:sz w:val="24"/>
          <w:szCs w:val="24"/>
          <w:lang w:val="en-GB"/>
        </w:rPr>
      </w:pPr>
      <w:r w:rsidRPr="002C651C">
        <w:rPr>
          <w:rFonts w:ascii="Times New Roman" w:hAnsi="Times New Roman"/>
          <w:sz w:val="24"/>
          <w:szCs w:val="24"/>
          <w:lang w:val="en-GB"/>
        </w:rPr>
        <w:t xml:space="preserve">In response to the </w:t>
      </w:r>
      <w:r w:rsidR="006A7158" w:rsidRPr="002C651C">
        <w:rPr>
          <w:rFonts w:ascii="Times New Roman" w:hAnsi="Times New Roman"/>
          <w:sz w:val="24"/>
          <w:szCs w:val="24"/>
          <w:lang w:val="en-GB"/>
        </w:rPr>
        <w:t>rescoping of the spectroscopy instruments</w:t>
      </w:r>
      <w:r w:rsidR="00C84CA1">
        <w:rPr>
          <w:rFonts w:ascii="Times New Roman" w:hAnsi="Times New Roman"/>
          <w:sz w:val="24"/>
          <w:szCs w:val="24"/>
          <w:lang w:val="en-GB"/>
        </w:rPr>
        <w:t>, w</w:t>
      </w:r>
      <w:r w:rsidR="006A7158" w:rsidRPr="002C651C">
        <w:rPr>
          <w:rFonts w:ascii="Times New Roman" w:hAnsi="Times New Roman"/>
          <w:sz w:val="24"/>
          <w:szCs w:val="24"/>
          <w:lang w:val="en-GB"/>
        </w:rPr>
        <w:t>e thank the spectroscopy STAP for their suggestions and are putting in place change requests</w:t>
      </w:r>
      <w:r w:rsidR="00B91956" w:rsidRPr="002C651C">
        <w:rPr>
          <w:rFonts w:ascii="Times New Roman" w:hAnsi="Times New Roman"/>
          <w:sz w:val="24"/>
          <w:szCs w:val="24"/>
          <w:lang w:val="en-GB"/>
        </w:rPr>
        <w:t xml:space="preserve">, </w:t>
      </w:r>
      <w:r w:rsidR="00E31411" w:rsidRPr="002C651C">
        <w:rPr>
          <w:rFonts w:ascii="Times New Roman" w:hAnsi="Times New Roman"/>
          <w:sz w:val="24"/>
          <w:szCs w:val="24"/>
          <w:lang w:val="en-GB"/>
        </w:rPr>
        <w:t xml:space="preserve">to </w:t>
      </w:r>
      <w:r w:rsidR="00B91956" w:rsidRPr="002C651C">
        <w:rPr>
          <w:rFonts w:ascii="Times New Roman" w:hAnsi="Times New Roman"/>
          <w:sz w:val="24"/>
          <w:szCs w:val="24"/>
          <w:lang w:val="en-GB"/>
        </w:rPr>
        <w:t>the ESS project,</w:t>
      </w:r>
      <w:r w:rsidR="006A7158" w:rsidRPr="002C651C">
        <w:rPr>
          <w:rFonts w:ascii="Times New Roman" w:hAnsi="Times New Roman"/>
          <w:sz w:val="24"/>
          <w:szCs w:val="24"/>
          <w:lang w:val="en-GB"/>
        </w:rPr>
        <w:t xml:space="preserve"> to rescope </w:t>
      </w:r>
      <w:r w:rsidR="002C2FE5" w:rsidRPr="002C651C">
        <w:rPr>
          <w:rFonts w:ascii="Times New Roman" w:hAnsi="Times New Roman"/>
          <w:sz w:val="24"/>
          <w:szCs w:val="24"/>
          <w:lang w:val="en-GB"/>
        </w:rPr>
        <w:t xml:space="preserve">with a preliminary focus on the following: </w:t>
      </w:r>
    </w:p>
    <w:p w14:paraId="78F637A9" w14:textId="21A39EE1" w:rsidR="006A7158" w:rsidRPr="002C651C" w:rsidRDefault="006A7158" w:rsidP="006A7158">
      <w:pPr>
        <w:pStyle w:val="ListParagraph"/>
        <w:numPr>
          <w:ilvl w:val="0"/>
          <w:numId w:val="16"/>
        </w:numPr>
        <w:rPr>
          <w:rFonts w:ascii="Times New Roman" w:hAnsi="Times New Roman"/>
          <w:sz w:val="24"/>
          <w:szCs w:val="24"/>
          <w:lang w:val="en-GB"/>
        </w:rPr>
      </w:pPr>
      <w:r w:rsidRPr="002C651C">
        <w:rPr>
          <w:rFonts w:ascii="Times New Roman" w:hAnsi="Times New Roman"/>
          <w:sz w:val="24"/>
          <w:szCs w:val="24"/>
          <w:lang w:val="en-GB"/>
        </w:rPr>
        <w:t>VESPA T0 Chopper</w:t>
      </w:r>
    </w:p>
    <w:p w14:paraId="7A88A7C1" w14:textId="7113C103" w:rsidR="006A7158" w:rsidRPr="002C651C" w:rsidRDefault="00D22DD9" w:rsidP="006A7158">
      <w:pPr>
        <w:pStyle w:val="ListParagraph"/>
        <w:numPr>
          <w:ilvl w:val="0"/>
          <w:numId w:val="16"/>
        </w:numPr>
        <w:rPr>
          <w:rFonts w:ascii="Times New Roman" w:hAnsi="Times New Roman"/>
          <w:sz w:val="24"/>
          <w:szCs w:val="24"/>
          <w:lang w:val="en-GB"/>
        </w:rPr>
      </w:pPr>
      <w:r w:rsidRPr="002C651C">
        <w:rPr>
          <w:rFonts w:ascii="Times New Roman" w:hAnsi="Times New Roman"/>
          <w:sz w:val="24"/>
          <w:szCs w:val="24"/>
          <w:lang w:val="en-GB"/>
        </w:rPr>
        <w:t xml:space="preserve">CSPEC 5 bar and full detector coverage </w:t>
      </w:r>
    </w:p>
    <w:p w14:paraId="468E92B9" w14:textId="6FD86A01" w:rsidR="00D22DD9" w:rsidRPr="002C651C" w:rsidRDefault="00D22DD9" w:rsidP="006A7158">
      <w:pPr>
        <w:pStyle w:val="ListParagraph"/>
        <w:numPr>
          <w:ilvl w:val="0"/>
          <w:numId w:val="16"/>
        </w:numPr>
        <w:rPr>
          <w:rFonts w:ascii="Times New Roman" w:hAnsi="Times New Roman"/>
          <w:sz w:val="24"/>
          <w:szCs w:val="24"/>
          <w:lang w:val="en-GB"/>
        </w:rPr>
      </w:pPr>
      <w:r w:rsidRPr="002C651C">
        <w:rPr>
          <w:rFonts w:ascii="Times New Roman" w:hAnsi="Times New Roman"/>
          <w:sz w:val="24"/>
          <w:szCs w:val="24"/>
          <w:lang w:val="en-GB"/>
        </w:rPr>
        <w:t>VESPA full complement of analy</w:t>
      </w:r>
      <w:r w:rsidR="002C651C">
        <w:rPr>
          <w:rFonts w:ascii="Times New Roman" w:hAnsi="Times New Roman"/>
          <w:sz w:val="24"/>
          <w:szCs w:val="24"/>
          <w:lang w:val="en-GB"/>
        </w:rPr>
        <w:t>s</w:t>
      </w:r>
      <w:r w:rsidRPr="002C651C">
        <w:rPr>
          <w:rFonts w:ascii="Times New Roman" w:hAnsi="Times New Roman"/>
          <w:sz w:val="24"/>
          <w:szCs w:val="24"/>
          <w:lang w:val="en-GB"/>
        </w:rPr>
        <w:t>ers</w:t>
      </w:r>
    </w:p>
    <w:p w14:paraId="305D9922" w14:textId="595F6BB2" w:rsidR="002C651C" w:rsidRPr="002C651C" w:rsidRDefault="00D22DD9" w:rsidP="00D22DD9">
      <w:pPr>
        <w:pStyle w:val="ListParagraph"/>
        <w:numPr>
          <w:ilvl w:val="0"/>
          <w:numId w:val="16"/>
        </w:numPr>
        <w:rPr>
          <w:rFonts w:ascii="Times New Roman" w:hAnsi="Times New Roman"/>
          <w:sz w:val="24"/>
          <w:szCs w:val="24"/>
          <w:lang w:val="en-GB"/>
        </w:rPr>
      </w:pPr>
      <w:r w:rsidRPr="002C651C">
        <w:rPr>
          <w:rFonts w:ascii="Times New Roman" w:hAnsi="Times New Roman"/>
          <w:sz w:val="24"/>
          <w:szCs w:val="24"/>
          <w:lang w:val="en-GB"/>
        </w:rPr>
        <w:t xml:space="preserve">TREX full detector coverage </w:t>
      </w:r>
    </w:p>
    <w:p w14:paraId="63010AFB" w14:textId="4BFF114B" w:rsidR="005849BD" w:rsidRPr="002C651C" w:rsidRDefault="005849BD" w:rsidP="00D22DD9">
      <w:pPr>
        <w:rPr>
          <w:rFonts w:ascii="Times New Roman" w:hAnsi="Times New Roman"/>
          <w:b/>
          <w:bCs/>
          <w:sz w:val="24"/>
          <w:szCs w:val="24"/>
          <w:lang w:val="en-GB"/>
        </w:rPr>
      </w:pPr>
      <w:r w:rsidRPr="002C651C">
        <w:rPr>
          <w:rFonts w:ascii="Times New Roman" w:hAnsi="Times New Roman"/>
          <w:b/>
          <w:bCs/>
          <w:sz w:val="24"/>
          <w:szCs w:val="24"/>
          <w:lang w:val="en-GB"/>
        </w:rPr>
        <w:t>Commissioning test plans</w:t>
      </w:r>
      <w:r w:rsidR="006B0830" w:rsidRPr="002C651C">
        <w:rPr>
          <w:rFonts w:ascii="Times New Roman" w:hAnsi="Times New Roman"/>
          <w:b/>
          <w:bCs/>
          <w:sz w:val="24"/>
          <w:szCs w:val="24"/>
          <w:lang w:val="en-GB"/>
        </w:rPr>
        <w:t>:</w:t>
      </w:r>
    </w:p>
    <w:p w14:paraId="51E28CF1" w14:textId="5C67A5F1" w:rsidR="00E034C3" w:rsidRPr="002C651C" w:rsidRDefault="00E034C3" w:rsidP="00E31411">
      <w:pPr>
        <w:pStyle w:val="NormalWeb"/>
      </w:pPr>
      <w:r w:rsidRPr="002C651C">
        <w:rPr>
          <w:lang w:val="en-GB"/>
        </w:rPr>
        <w:t>Integrated commissioning test plans are being developed for all the instrument components relevant for cold and hot commissioning. The test plan for the Bifrost detectors is attached</w:t>
      </w:r>
      <w:r w:rsidR="00E31411" w:rsidRPr="002C651C">
        <w:rPr>
          <w:lang w:val="en-GB"/>
        </w:rPr>
        <w:t xml:space="preserve"> (</w:t>
      </w:r>
      <w:r w:rsidR="00E31411" w:rsidRPr="002C651C">
        <w:t xml:space="preserve">ESS-5637422 </w:t>
      </w:r>
      <w:r w:rsidR="00E31411" w:rsidRPr="002C651C">
        <w:t xml:space="preserve">- </w:t>
      </w:r>
      <w:r w:rsidR="00E31411" w:rsidRPr="002C651C">
        <w:t>INTEGRATED TEST PLAN OF THE BIFROST DETECTOR SYSTEM</w:t>
      </w:r>
      <w:r w:rsidR="00E31411" w:rsidRPr="002C651C">
        <w:rPr>
          <w:lang w:val="en-GB"/>
        </w:rPr>
        <w:t>)</w:t>
      </w:r>
      <w:r w:rsidRPr="002C651C">
        <w:rPr>
          <w:lang w:val="en-GB"/>
        </w:rPr>
        <w:t xml:space="preserve">. </w:t>
      </w:r>
      <w:r w:rsidR="00BB411D" w:rsidRPr="002C651C">
        <w:rPr>
          <w:lang w:val="en-GB"/>
        </w:rPr>
        <w:t xml:space="preserve">Other, relevant, test plans will be presented at the next STAP meeting for more detail. </w:t>
      </w:r>
    </w:p>
    <w:p w14:paraId="02A7B60C" w14:textId="071E699B" w:rsidR="004069C7" w:rsidRPr="002C651C" w:rsidRDefault="00961770" w:rsidP="00D22DD9">
      <w:pPr>
        <w:rPr>
          <w:rFonts w:ascii="Times New Roman" w:hAnsi="Times New Roman"/>
          <w:b/>
          <w:bCs/>
          <w:sz w:val="24"/>
          <w:szCs w:val="24"/>
          <w:lang w:val="en-GB"/>
        </w:rPr>
      </w:pPr>
      <w:r w:rsidRPr="002C651C">
        <w:rPr>
          <w:rFonts w:ascii="Times New Roman" w:hAnsi="Times New Roman"/>
          <w:b/>
          <w:bCs/>
          <w:sz w:val="24"/>
          <w:szCs w:val="24"/>
          <w:lang w:val="en-GB"/>
        </w:rPr>
        <w:t xml:space="preserve">Integration of </w:t>
      </w:r>
      <w:r w:rsidR="00CD09C9" w:rsidRPr="002C651C">
        <w:rPr>
          <w:rFonts w:ascii="Times New Roman" w:hAnsi="Times New Roman"/>
          <w:b/>
          <w:bCs/>
          <w:sz w:val="24"/>
          <w:szCs w:val="24"/>
          <w:lang w:val="en-GB"/>
        </w:rPr>
        <w:t xml:space="preserve">the </w:t>
      </w:r>
      <w:r w:rsidRPr="002C651C">
        <w:rPr>
          <w:rFonts w:ascii="Times New Roman" w:hAnsi="Times New Roman"/>
          <w:b/>
          <w:bCs/>
          <w:sz w:val="24"/>
          <w:szCs w:val="24"/>
          <w:lang w:val="en-GB"/>
        </w:rPr>
        <w:t>data acquisition system</w:t>
      </w:r>
      <w:r w:rsidR="00A23B2B">
        <w:rPr>
          <w:rFonts w:ascii="Times New Roman" w:hAnsi="Times New Roman"/>
          <w:b/>
          <w:bCs/>
          <w:sz w:val="24"/>
          <w:szCs w:val="24"/>
          <w:lang w:val="en-GB"/>
        </w:rPr>
        <w:t>:</w:t>
      </w:r>
    </w:p>
    <w:p w14:paraId="1B8BCDE1" w14:textId="77777777" w:rsidR="00C84CA1" w:rsidRDefault="001B5B92" w:rsidP="001B5B92">
      <w:pPr>
        <w:pStyle w:val="NormalWeb"/>
        <w:rPr>
          <w:color w:val="000000" w:themeColor="text1"/>
        </w:rPr>
      </w:pPr>
      <w:r w:rsidRPr="002C651C">
        <w:rPr>
          <w:color w:val="000000" w:themeColor="text1"/>
        </w:rPr>
        <w:t>The BIFROST team, in their short STAP report, have outlined recent positive developments in comissioning the detectors with a full data chain acquisition enabling data visualisation in the control software NICOS. A complete overview will be presented at the in-person STAP in September.</w:t>
      </w:r>
    </w:p>
    <w:p w14:paraId="5F7ED86D" w14:textId="6ED79134" w:rsidR="00BB182C" w:rsidRPr="002C651C" w:rsidRDefault="00BB182C" w:rsidP="001B5B92">
      <w:pPr>
        <w:pStyle w:val="NormalWeb"/>
        <w:rPr>
          <w:color w:val="000000" w:themeColor="text1"/>
        </w:rPr>
      </w:pPr>
      <w:r w:rsidRPr="002C651C">
        <w:rPr>
          <w:color w:val="000000" w:themeColor="text1"/>
        </w:rPr>
        <w:t>Instrument data scientist positions for T-REX</w:t>
      </w:r>
      <w:r w:rsidR="00C84CA1">
        <w:rPr>
          <w:color w:val="000000" w:themeColor="text1"/>
        </w:rPr>
        <w:t>,</w:t>
      </w:r>
      <w:r w:rsidRPr="002C651C">
        <w:rPr>
          <w:color w:val="000000" w:themeColor="text1"/>
        </w:rPr>
        <w:t xml:space="preserve"> CSPEC </w:t>
      </w:r>
      <w:r w:rsidR="00C84CA1">
        <w:rPr>
          <w:color w:val="000000" w:themeColor="text1"/>
        </w:rPr>
        <w:t xml:space="preserve">and MIRACLES </w:t>
      </w:r>
      <w:r w:rsidRPr="002C651C">
        <w:rPr>
          <w:color w:val="000000" w:themeColor="text1"/>
        </w:rPr>
        <w:t>have been opened</w:t>
      </w:r>
      <w:r w:rsidR="002B1F6D" w:rsidRPr="002C651C">
        <w:rPr>
          <w:color w:val="000000" w:themeColor="text1"/>
        </w:rPr>
        <w:t xml:space="preserve"> to ensure that the data acquisition is intergated at the instrument level for these very different detectors</w:t>
      </w:r>
      <w:r w:rsidR="00F32AD7" w:rsidRPr="002C651C">
        <w:rPr>
          <w:color w:val="000000" w:themeColor="text1"/>
        </w:rPr>
        <w:t xml:space="preserve"> and their data acquisition systems. </w:t>
      </w:r>
    </w:p>
    <w:p w14:paraId="522DC084" w14:textId="3E2263AB" w:rsidR="000E706E" w:rsidRPr="002C651C" w:rsidRDefault="000E706E" w:rsidP="00C70539">
      <w:pPr>
        <w:pStyle w:val="NormalWeb"/>
        <w:rPr>
          <w:b/>
          <w:bCs/>
        </w:rPr>
      </w:pPr>
      <w:r w:rsidRPr="002C651C">
        <w:rPr>
          <w:b/>
          <w:bCs/>
        </w:rPr>
        <w:t>Staffing to reach the end of project milestone (TG5)</w:t>
      </w:r>
      <w:r w:rsidR="00C02FA0">
        <w:rPr>
          <w:b/>
          <w:bCs/>
        </w:rPr>
        <w:t>:</w:t>
      </w:r>
    </w:p>
    <w:p w14:paraId="1444F955" w14:textId="5EEA71DF" w:rsidR="001F2412" w:rsidRPr="002C651C" w:rsidRDefault="00202135" w:rsidP="00202135">
      <w:pPr>
        <w:pStyle w:val="NormalWeb"/>
      </w:pPr>
      <w:r w:rsidRPr="002C651C">
        <w:t>Staffing levels were highlighted as a risk to the project and this has been taken on-board with the NSS trying to introduce more technical support staff and the spectroscopy division also recruiting extensively. However, this process is slow</w:t>
      </w:r>
      <w:r w:rsidR="00970DAA" w:rsidRPr="002C651C">
        <w:t xml:space="preserve"> and this remains one of the biggest risks to the project</w:t>
      </w:r>
      <w:r w:rsidRPr="002C651C">
        <w:t xml:space="preserve">. We are working on creating a more efficient workflow with a more pragmatic approach to cold and hot commisioning. The workflow for the completion of Bifrost is providing a more realistic approach but this also needs to be further improved. </w:t>
      </w:r>
    </w:p>
    <w:p w14:paraId="69E11496" w14:textId="631F6D1F" w:rsidR="00C70539" w:rsidRPr="002C651C" w:rsidRDefault="005D18B7" w:rsidP="00D214CE">
      <w:pPr>
        <w:rPr>
          <w:rFonts w:ascii="Times New Roman" w:hAnsi="Times New Roman"/>
          <w:b/>
          <w:bCs/>
          <w:sz w:val="24"/>
          <w:szCs w:val="24"/>
          <w:lang w:val="en-SE"/>
        </w:rPr>
      </w:pPr>
      <w:r w:rsidRPr="002C651C">
        <w:rPr>
          <w:rFonts w:ascii="Times New Roman" w:hAnsi="Times New Roman"/>
          <w:b/>
          <w:bCs/>
          <w:sz w:val="24"/>
          <w:szCs w:val="24"/>
          <w:lang w:val="en-SE"/>
        </w:rPr>
        <w:t>Hot commisiong and early science</w:t>
      </w:r>
      <w:r w:rsidR="00C84CA1">
        <w:rPr>
          <w:rFonts w:ascii="Times New Roman" w:hAnsi="Times New Roman"/>
          <w:b/>
          <w:bCs/>
          <w:sz w:val="24"/>
          <w:szCs w:val="24"/>
          <w:lang w:val="en-SE"/>
        </w:rPr>
        <w:t>:</w:t>
      </w:r>
      <w:r w:rsidRPr="002C651C">
        <w:rPr>
          <w:rFonts w:ascii="Times New Roman" w:hAnsi="Times New Roman"/>
          <w:b/>
          <w:bCs/>
          <w:sz w:val="24"/>
          <w:szCs w:val="24"/>
          <w:lang w:val="en-SE"/>
        </w:rPr>
        <w:t xml:space="preserve"> </w:t>
      </w:r>
    </w:p>
    <w:p w14:paraId="19CCC017" w14:textId="391001E8" w:rsidR="005D18B7" w:rsidRDefault="005D18B7" w:rsidP="00D214CE">
      <w:pPr>
        <w:rPr>
          <w:rFonts w:ascii="Times New Roman" w:hAnsi="Times New Roman"/>
          <w:sz w:val="24"/>
          <w:szCs w:val="24"/>
          <w:lang w:val="en-SE"/>
        </w:rPr>
      </w:pPr>
      <w:r w:rsidRPr="002C651C">
        <w:rPr>
          <w:rFonts w:ascii="Times New Roman" w:hAnsi="Times New Roman"/>
          <w:sz w:val="24"/>
          <w:szCs w:val="24"/>
          <w:lang w:val="en-SE"/>
        </w:rPr>
        <w:t xml:space="preserve">Please refer to the </w:t>
      </w:r>
      <w:r w:rsidR="00BD0497" w:rsidRPr="002C651C">
        <w:rPr>
          <w:rFonts w:ascii="Times New Roman" w:hAnsi="Times New Roman"/>
          <w:sz w:val="24"/>
          <w:szCs w:val="24"/>
          <w:lang w:val="en-SE"/>
        </w:rPr>
        <w:t>Bif</w:t>
      </w:r>
      <w:r w:rsidR="00022211" w:rsidRPr="002C651C">
        <w:rPr>
          <w:rFonts w:ascii="Times New Roman" w:hAnsi="Times New Roman"/>
          <w:sz w:val="24"/>
          <w:szCs w:val="24"/>
          <w:lang w:val="en-SE"/>
        </w:rPr>
        <w:t xml:space="preserve">rost </w:t>
      </w:r>
      <w:r w:rsidRPr="002C651C">
        <w:rPr>
          <w:rFonts w:ascii="Times New Roman" w:hAnsi="Times New Roman"/>
          <w:sz w:val="24"/>
          <w:szCs w:val="24"/>
          <w:lang w:val="en-SE"/>
        </w:rPr>
        <w:t>first science workshop overview document</w:t>
      </w:r>
      <w:r w:rsidR="008A3D34" w:rsidRPr="002C651C">
        <w:rPr>
          <w:rFonts w:ascii="Times New Roman" w:hAnsi="Times New Roman"/>
          <w:sz w:val="24"/>
          <w:szCs w:val="24"/>
          <w:lang w:val="en-SE"/>
        </w:rPr>
        <w:t xml:space="preserve">. </w:t>
      </w:r>
    </w:p>
    <w:p w14:paraId="7039798C" w14:textId="77777777" w:rsidR="002C651C" w:rsidRDefault="002C651C" w:rsidP="00D214CE">
      <w:pPr>
        <w:rPr>
          <w:rFonts w:ascii="Times New Roman" w:hAnsi="Times New Roman"/>
          <w:sz w:val="24"/>
          <w:szCs w:val="24"/>
          <w:lang w:val="en-SE"/>
        </w:rPr>
      </w:pPr>
    </w:p>
    <w:p w14:paraId="0E4E328B" w14:textId="77777777" w:rsidR="00BE1616" w:rsidRDefault="00BE1616" w:rsidP="00D214CE">
      <w:pPr>
        <w:rPr>
          <w:rFonts w:ascii="Times New Roman" w:hAnsi="Times New Roman"/>
          <w:sz w:val="24"/>
          <w:szCs w:val="24"/>
          <w:lang w:val="en-SE"/>
        </w:rPr>
      </w:pPr>
    </w:p>
    <w:p w14:paraId="48B3A1DD" w14:textId="4C2C839B" w:rsidR="00866550" w:rsidRPr="00866550" w:rsidRDefault="00866550" w:rsidP="00D214CE">
      <w:pPr>
        <w:rPr>
          <w:rFonts w:ascii="Times New Roman" w:hAnsi="Times New Roman"/>
          <w:b/>
          <w:bCs/>
          <w:sz w:val="24"/>
          <w:szCs w:val="24"/>
          <w:lang w:val="en-SE"/>
        </w:rPr>
      </w:pPr>
      <w:r w:rsidRPr="00866550">
        <w:rPr>
          <w:rFonts w:ascii="Times New Roman" w:hAnsi="Times New Roman"/>
          <w:b/>
          <w:bCs/>
          <w:sz w:val="24"/>
          <w:szCs w:val="24"/>
          <w:lang w:val="en-SE"/>
        </w:rPr>
        <w:t xml:space="preserve">Further comments </w:t>
      </w:r>
    </w:p>
    <w:p w14:paraId="1CD236D0" w14:textId="77777777" w:rsidR="00F6600C" w:rsidRDefault="007C3EE5" w:rsidP="005A194E">
      <w:pPr>
        <w:rPr>
          <w:rFonts w:ascii="TimesNewRomanPSMT" w:hAnsi="TimesNewRomanPSMT"/>
          <w:i/>
          <w:iCs/>
        </w:rPr>
      </w:pPr>
      <w:r w:rsidRPr="005A194E">
        <w:rPr>
          <w:rFonts w:ascii="TimesNewRomanPSMT" w:hAnsi="TimesNewRomanPSMT"/>
          <w:i/>
          <w:iCs/>
        </w:rPr>
        <w:t xml:space="preserve">Rather, management should keep engineering and other supporting resources available during early operation (and not assign to other projects too quickly). </w:t>
      </w:r>
    </w:p>
    <w:p w14:paraId="6AE6718D" w14:textId="450C7989" w:rsidR="005A194E" w:rsidRPr="00EE5086" w:rsidRDefault="005A194E" w:rsidP="00EE5086">
      <w:pPr>
        <w:rPr>
          <w:rFonts w:ascii="Times New Roman" w:hAnsi="Times New Roman"/>
          <w:sz w:val="24"/>
          <w:szCs w:val="24"/>
          <w:lang w:val="en-SE"/>
        </w:rPr>
      </w:pPr>
      <w:r>
        <w:rPr>
          <w:rFonts w:ascii="Times New Roman" w:hAnsi="Times New Roman"/>
          <w:sz w:val="24"/>
          <w:szCs w:val="24"/>
          <w:lang w:val="en-SE"/>
        </w:rPr>
        <w:t>This has also been highlighted in the recen</w:t>
      </w:r>
      <w:r w:rsidR="004D7D87">
        <w:rPr>
          <w:rFonts w:ascii="Times New Roman" w:hAnsi="Times New Roman"/>
          <w:sz w:val="24"/>
          <w:szCs w:val="24"/>
          <w:lang w:val="en-SE"/>
        </w:rPr>
        <w:t>t</w:t>
      </w:r>
      <w:r>
        <w:rPr>
          <w:rFonts w:ascii="Times New Roman" w:hAnsi="Times New Roman"/>
          <w:sz w:val="24"/>
          <w:szCs w:val="24"/>
          <w:lang w:val="en-SE"/>
        </w:rPr>
        <w:t xml:space="preserve"> Steady State Operations review and is </w:t>
      </w:r>
      <w:r w:rsidR="004D7D87">
        <w:rPr>
          <w:rFonts w:ascii="Times New Roman" w:hAnsi="Times New Roman"/>
          <w:sz w:val="24"/>
          <w:szCs w:val="24"/>
          <w:lang w:val="en-SE"/>
        </w:rPr>
        <w:t xml:space="preserve">being considered in light of the 15 </w:t>
      </w:r>
      <w:r w:rsidR="004B260C">
        <w:rPr>
          <w:rFonts w:ascii="Times New Roman" w:hAnsi="Times New Roman"/>
          <w:sz w:val="24"/>
          <w:szCs w:val="24"/>
          <w:lang w:val="en-SE"/>
        </w:rPr>
        <w:t xml:space="preserve">(+1) </w:t>
      </w:r>
      <w:r w:rsidR="004D7D87">
        <w:rPr>
          <w:rFonts w:ascii="Times New Roman" w:hAnsi="Times New Roman"/>
          <w:sz w:val="24"/>
          <w:szCs w:val="24"/>
          <w:lang w:val="en-SE"/>
        </w:rPr>
        <w:t>instrument projec</w:t>
      </w:r>
      <w:r w:rsidR="004B260C">
        <w:rPr>
          <w:rFonts w:ascii="Times New Roman" w:hAnsi="Times New Roman"/>
          <w:sz w:val="24"/>
          <w:szCs w:val="24"/>
          <w:lang w:val="en-SE"/>
        </w:rPr>
        <w:t>t</w:t>
      </w:r>
      <w:r w:rsidR="004D7D87">
        <w:rPr>
          <w:rFonts w:ascii="Times New Roman" w:hAnsi="Times New Roman"/>
          <w:sz w:val="24"/>
          <w:szCs w:val="24"/>
          <w:lang w:val="en-SE"/>
        </w:rPr>
        <w:t xml:space="preserve">s currently </w:t>
      </w:r>
      <w:r w:rsidR="00FF2935">
        <w:rPr>
          <w:rFonts w:ascii="Times New Roman" w:hAnsi="Times New Roman"/>
          <w:sz w:val="24"/>
          <w:szCs w:val="24"/>
          <w:lang w:val="en-SE"/>
        </w:rPr>
        <w:t>o</w:t>
      </w:r>
      <w:r w:rsidR="004D7D87">
        <w:rPr>
          <w:rFonts w:ascii="Times New Roman" w:hAnsi="Times New Roman"/>
          <w:sz w:val="24"/>
          <w:szCs w:val="24"/>
          <w:lang w:val="en-SE"/>
        </w:rPr>
        <w:t xml:space="preserve">n-going. </w:t>
      </w:r>
    </w:p>
    <w:p w14:paraId="71686902" w14:textId="77777777" w:rsidR="00EC5AB5" w:rsidRPr="00C42732" w:rsidRDefault="00EC5AB5" w:rsidP="00C42732">
      <w:pPr>
        <w:pStyle w:val="NormalWeb"/>
        <w:rPr>
          <w:rFonts w:ascii="TimesNewRomanPSMT" w:hAnsi="TimesNewRomanPSMT"/>
          <w:i/>
          <w:iCs/>
        </w:rPr>
      </w:pPr>
      <w:r w:rsidRPr="00C42732">
        <w:rPr>
          <w:rFonts w:ascii="TimesNewRomanPSMT" w:hAnsi="TimesNewRomanPSMT"/>
          <w:i/>
          <w:iCs/>
        </w:rPr>
        <w:t xml:space="preserve">Management should refrain from overpromising instrument performance to the user community or sponsor. </w:t>
      </w:r>
    </w:p>
    <w:p w14:paraId="38C7A5E2" w14:textId="6FB1CFF7" w:rsidR="00EC5AB5" w:rsidRPr="00C42732" w:rsidRDefault="00C42732" w:rsidP="00F910C4">
      <w:pPr>
        <w:pStyle w:val="NormalWeb"/>
        <w:rPr>
          <w:rFonts w:ascii="TimesNewRomanPSMT" w:hAnsi="TimesNewRomanPSMT"/>
        </w:rPr>
      </w:pPr>
      <w:r w:rsidRPr="00C42732">
        <w:rPr>
          <w:rFonts w:ascii="TimesNewRomanPSMT" w:hAnsi="TimesNewRomanPSMT"/>
        </w:rPr>
        <w:t xml:space="preserve">Yes. </w:t>
      </w:r>
      <w:r>
        <w:rPr>
          <w:rFonts w:ascii="TimesNewRomanPSMT" w:hAnsi="TimesNewRomanPSMT"/>
        </w:rPr>
        <w:t xml:space="preserve">Support from the STAP </w:t>
      </w:r>
      <w:r w:rsidR="009430A7">
        <w:rPr>
          <w:rFonts w:ascii="TimesNewRomanPSMT" w:hAnsi="TimesNewRomanPSMT"/>
        </w:rPr>
        <w:t xml:space="preserve">will be beneficial. </w:t>
      </w:r>
    </w:p>
    <w:p w14:paraId="77B60332" w14:textId="2658D3F2" w:rsidR="007C3EE5" w:rsidRPr="00EE5086" w:rsidRDefault="00DD2D27" w:rsidP="00F910C4">
      <w:pPr>
        <w:pStyle w:val="NormalWeb"/>
        <w:rPr>
          <w:rFonts w:ascii="TimesNewRomanPSMT" w:hAnsi="TimesNewRomanPSMT"/>
          <w:i/>
          <w:iCs/>
        </w:rPr>
      </w:pPr>
      <w:r w:rsidRPr="00EE5086">
        <w:rPr>
          <w:rFonts w:ascii="TimesNewRomanPSMT" w:hAnsi="TimesNewRomanPSMT"/>
          <w:i/>
          <w:iCs/>
        </w:rPr>
        <w:t xml:space="preserve">Management </w:t>
      </w:r>
      <w:r w:rsidR="007C3EE5" w:rsidRPr="00EE5086">
        <w:rPr>
          <w:rFonts w:ascii="TimesNewRomanPSMT" w:hAnsi="TimesNewRomanPSMT"/>
          <w:i/>
          <w:iCs/>
        </w:rPr>
        <w:t xml:space="preserve">should establish clear procedures for handling active samples, bringing users in, and user lab operation. </w:t>
      </w:r>
    </w:p>
    <w:p w14:paraId="2C276FD1" w14:textId="455A36A6" w:rsidR="00DD2D27" w:rsidRDefault="00DD2D27" w:rsidP="00F910C4">
      <w:pPr>
        <w:pStyle w:val="NormalWeb"/>
        <w:rPr>
          <w:rFonts w:ascii="TimesNewRomanPSMT" w:hAnsi="TimesNewRomanPSMT"/>
        </w:rPr>
      </w:pPr>
      <w:r w:rsidRPr="00EE5086">
        <w:rPr>
          <w:rFonts w:ascii="TimesNewRomanPSMT" w:hAnsi="TimesNewRomanPSMT"/>
        </w:rPr>
        <w:t>We aim to pro</w:t>
      </w:r>
      <w:r w:rsidR="00FA5DA2">
        <w:rPr>
          <w:rFonts w:ascii="TimesNewRomanPSMT" w:hAnsi="TimesNewRomanPSMT"/>
        </w:rPr>
        <w:t>v</w:t>
      </w:r>
      <w:r w:rsidRPr="00EE5086">
        <w:rPr>
          <w:rFonts w:ascii="TimesNewRomanPSMT" w:hAnsi="TimesNewRomanPSMT"/>
        </w:rPr>
        <w:t>i</w:t>
      </w:r>
      <w:r w:rsidR="00EE5086" w:rsidRPr="00EE5086">
        <w:rPr>
          <w:rFonts w:ascii="TimesNewRomanPSMT" w:hAnsi="TimesNewRomanPSMT"/>
        </w:rPr>
        <w:t>d</w:t>
      </w:r>
      <w:r w:rsidRPr="00EE5086">
        <w:rPr>
          <w:rFonts w:ascii="TimesNewRomanPSMT" w:hAnsi="TimesNewRomanPSMT"/>
        </w:rPr>
        <w:t>e an overview of these procedures par</w:t>
      </w:r>
      <w:r w:rsidR="002E3090">
        <w:rPr>
          <w:rFonts w:ascii="TimesNewRomanPSMT" w:hAnsi="TimesNewRomanPSMT"/>
        </w:rPr>
        <w:t>t</w:t>
      </w:r>
      <w:r w:rsidRPr="00EE5086">
        <w:rPr>
          <w:rFonts w:ascii="TimesNewRomanPSMT" w:hAnsi="TimesNewRomanPSMT"/>
        </w:rPr>
        <w:t>ly at this common STAP and partly at the next spectroscopy STAP.</w:t>
      </w:r>
    </w:p>
    <w:p w14:paraId="7E79EC36" w14:textId="77777777" w:rsidR="00C6420E" w:rsidRPr="00EE5086" w:rsidRDefault="00C6420E" w:rsidP="00F910C4">
      <w:pPr>
        <w:pStyle w:val="NormalWeb"/>
        <w:rPr>
          <w:rFonts w:ascii="TimesNewRomanPSMT" w:hAnsi="TimesNewRomanPSMT"/>
        </w:rPr>
      </w:pPr>
    </w:p>
    <w:sectPr w:rsidR="00C6420E" w:rsidRPr="00EE5086" w:rsidSect="00F318B6">
      <w:headerReference w:type="default" r:id="rId7"/>
      <w:footerReference w:type="default" r:id="rId8"/>
      <w:headerReference w:type="first" r:id="rId9"/>
      <w:footerReference w:type="first" r:id="rId10"/>
      <w:type w:val="continuous"/>
      <w:pgSz w:w="11900" w:h="16840"/>
      <w:pgMar w:top="1789" w:right="1127" w:bottom="1709" w:left="1134" w:header="490" w:footer="322" w:gutter="0"/>
      <w:cols w:space="707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0F1556" w14:textId="77777777" w:rsidR="00C52E3D" w:rsidRDefault="00C52E3D">
      <w:r>
        <w:separator/>
      </w:r>
    </w:p>
  </w:endnote>
  <w:endnote w:type="continuationSeparator" w:id="0">
    <w:p w14:paraId="2411B7E0" w14:textId="77777777" w:rsidR="00C52E3D" w:rsidRDefault="00C52E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0000000000000000000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 (Headings CS)">
    <w:altName w:val="Times New Roman"/>
    <w:panose1 w:val="00000500000000020000"/>
    <w:charset w:val="00"/>
    <w:family w:val="roman"/>
    <w:pitch w:val="variable"/>
    <w:sig w:usb0="E0002AEF" w:usb1="C0007841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NewRomanPSMT">
    <w:altName w:val="Times New Roman"/>
    <w:panose1 w:val="020B0604020202020204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C443E2" w14:textId="77777777" w:rsidR="00D214CE" w:rsidRPr="00DF1FFA" w:rsidRDefault="00D214CE" w:rsidP="00D214CE">
    <w:pPr>
      <w:pStyle w:val="Footer"/>
      <w:ind w:right="-8"/>
    </w:pPr>
    <w:r>
      <w:fldChar w:fldCharType="begin"/>
    </w:r>
    <w:r>
      <w:instrText xml:space="preserve"> PAGE  </w:instrText>
    </w:r>
    <w:r>
      <w:fldChar w:fldCharType="separate"/>
    </w:r>
    <w:r w:rsidR="00FB0E86">
      <w:rPr>
        <w:noProof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9E0817" w14:textId="78560F32" w:rsidR="00C3726B" w:rsidRPr="000B7D24" w:rsidRDefault="00C3726B" w:rsidP="00272E3C">
    <w:pPr>
      <w:spacing w:after="0" w:line="240" w:lineRule="auto"/>
      <w:jc w:val="right"/>
      <w:rPr>
        <w:rFonts w:cs="Segoe UI Historic"/>
        <w:color w:val="00A3DB"/>
        <w:sz w:val="14"/>
        <w:szCs w:val="14"/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F32C07" w14:textId="77777777" w:rsidR="00C52E3D" w:rsidRDefault="00C52E3D">
      <w:r>
        <w:separator/>
      </w:r>
    </w:p>
  </w:footnote>
  <w:footnote w:type="continuationSeparator" w:id="0">
    <w:p w14:paraId="48802E4D" w14:textId="77777777" w:rsidR="00C52E3D" w:rsidRDefault="00C52E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94BF34" w14:textId="77777777" w:rsidR="00D214CE" w:rsidRDefault="00D214CE">
    <w:pPr>
      <w:pStyle w:val="Header"/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8BEF8E" w14:textId="77777777" w:rsidR="00E50009" w:rsidRDefault="001C7AFB" w:rsidP="004B4A0A">
    <w:pPr>
      <w:pStyle w:val="Header"/>
      <w:ind w:left="0"/>
      <w:jc w:val="left"/>
    </w:pPr>
    <w:r>
      <w:rPr>
        <w:noProof/>
        <w:lang w:val="sv-SE" w:eastAsia="sv-SE"/>
      </w:rPr>
      <w:drawing>
        <wp:inline distT="0" distB="0" distL="0" distR="0" wp14:anchorId="392B61DA" wp14:editId="5055A9AF">
          <wp:extent cx="1418009" cy="759600"/>
          <wp:effectExtent l="0" t="0" r="0" b="254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/Users/helenebjorkman/Documents/ESS Corporate/ESS Multiple Frugal Logo files 20130923/ESS_Logo_Frugal_Blue_cmyk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418009" cy="75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734BB"/>
    <w:multiLevelType w:val="hybridMultilevel"/>
    <w:tmpl w:val="41B07BC0"/>
    <w:lvl w:ilvl="0" w:tplc="DC34764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E3073C2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060A04A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ED0C1AE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0D6C7FC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2D46F0A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1386C26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5720BBA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624BB02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D35F50"/>
    <w:multiLevelType w:val="hybridMultilevel"/>
    <w:tmpl w:val="901646D4"/>
    <w:lvl w:ilvl="0" w:tplc="B30A399E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38663BE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ED4DC6C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4A2C338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4CC2B00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1B8A032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D8C20D2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872829C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762F70E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43681B"/>
    <w:multiLevelType w:val="hybridMultilevel"/>
    <w:tmpl w:val="2E4A44F0"/>
    <w:lvl w:ilvl="0" w:tplc="3C8ADCEE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7E85EE0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F66F47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26C68A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29E7CB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74EDC6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E24338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2A0008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92836D0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506F14"/>
    <w:multiLevelType w:val="multilevel"/>
    <w:tmpl w:val="86A4EC8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F463B4"/>
    <w:multiLevelType w:val="hybridMultilevel"/>
    <w:tmpl w:val="E4669CB0"/>
    <w:lvl w:ilvl="0" w:tplc="041D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C66823"/>
    <w:multiLevelType w:val="multilevel"/>
    <w:tmpl w:val="9580FE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D5C5BAD"/>
    <w:multiLevelType w:val="hybridMultilevel"/>
    <w:tmpl w:val="AA88B294"/>
    <w:lvl w:ilvl="0" w:tplc="46DCD62E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C10808A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87625CC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9D43E50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12AC2C0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578948E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08A9F60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A7A7516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CAA6940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980426"/>
    <w:multiLevelType w:val="hybridMultilevel"/>
    <w:tmpl w:val="CEE81E68"/>
    <w:lvl w:ilvl="0" w:tplc="EF16E2B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E6C9BFA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290DDB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5F2817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FDECD2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9686EF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11A8E38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0567FE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2F446A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2966A0"/>
    <w:multiLevelType w:val="hybridMultilevel"/>
    <w:tmpl w:val="AEA22CF0"/>
    <w:lvl w:ilvl="0" w:tplc="6EF65E3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5FC3FDE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89405E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CF6734A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5960C2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B222B20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BDC07B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D58657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72255D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22676E"/>
    <w:multiLevelType w:val="hybridMultilevel"/>
    <w:tmpl w:val="5DBA034E"/>
    <w:lvl w:ilvl="0" w:tplc="5AC21D50">
      <w:start w:val="1"/>
      <w:numFmt w:val="decimal"/>
      <w:lvlText w:val="11.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4DC7551"/>
    <w:multiLevelType w:val="hybridMultilevel"/>
    <w:tmpl w:val="59BABE92"/>
    <w:lvl w:ilvl="0" w:tplc="87B4EEB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403F52"/>
    <w:multiLevelType w:val="hybridMultilevel"/>
    <w:tmpl w:val="DC30B46C"/>
    <w:lvl w:ilvl="0" w:tplc="0D5499FE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39AB520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1D073C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F88B084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A30663A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C5CCDE2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01C68CE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28E0C42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CAC4B18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BF4C83"/>
    <w:multiLevelType w:val="hybridMultilevel"/>
    <w:tmpl w:val="2AC078FC"/>
    <w:lvl w:ilvl="0" w:tplc="D556EFD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D083D1C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6041F1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91C5092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4FA8B9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53A8C1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1EABAA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E5A835A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F8218D8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6115DD"/>
    <w:multiLevelType w:val="hybridMultilevel"/>
    <w:tmpl w:val="0C5C6F94"/>
    <w:lvl w:ilvl="0" w:tplc="301C0A9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611732E"/>
    <w:multiLevelType w:val="hybridMultilevel"/>
    <w:tmpl w:val="F242723E"/>
    <w:lvl w:ilvl="0" w:tplc="1C983AE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2EEB5C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580259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0861FB0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9A4BC5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EC8232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0406AD6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3CA5C2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732C2E8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0F5E9E"/>
    <w:multiLevelType w:val="hybridMultilevel"/>
    <w:tmpl w:val="983E3218"/>
    <w:lvl w:ilvl="0" w:tplc="2070DB7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0B415A"/>
    <w:multiLevelType w:val="multilevel"/>
    <w:tmpl w:val="B4C8EC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FD049F1"/>
    <w:multiLevelType w:val="hybridMultilevel"/>
    <w:tmpl w:val="B706EDD0"/>
    <w:lvl w:ilvl="0" w:tplc="FE9E815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23A305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5727E7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5BAF9E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BA89FBE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CF2F2B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932409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BCCB40E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C7C136C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288706830">
    <w:abstractNumId w:val="10"/>
  </w:num>
  <w:num w:numId="2" w16cid:durableId="1832019950">
    <w:abstractNumId w:val="14"/>
  </w:num>
  <w:num w:numId="3" w16cid:durableId="926426035">
    <w:abstractNumId w:val="12"/>
  </w:num>
  <w:num w:numId="4" w16cid:durableId="751319679">
    <w:abstractNumId w:val="17"/>
  </w:num>
  <w:num w:numId="5" w16cid:durableId="878276042">
    <w:abstractNumId w:val="8"/>
  </w:num>
  <w:num w:numId="6" w16cid:durableId="47922848">
    <w:abstractNumId w:val="7"/>
  </w:num>
  <w:num w:numId="7" w16cid:durableId="1600405551">
    <w:abstractNumId w:val="2"/>
  </w:num>
  <w:num w:numId="8" w16cid:durableId="625551144">
    <w:abstractNumId w:val="11"/>
  </w:num>
  <w:num w:numId="9" w16cid:durableId="693310563">
    <w:abstractNumId w:val="1"/>
  </w:num>
  <w:num w:numId="10" w16cid:durableId="1953586940">
    <w:abstractNumId w:val="0"/>
  </w:num>
  <w:num w:numId="11" w16cid:durableId="785580217">
    <w:abstractNumId w:val="6"/>
  </w:num>
  <w:num w:numId="12" w16cid:durableId="1270162021">
    <w:abstractNumId w:val="4"/>
  </w:num>
  <w:num w:numId="13" w16cid:durableId="1120956613">
    <w:abstractNumId w:val="3"/>
  </w:num>
  <w:num w:numId="14" w16cid:durableId="1030105362">
    <w:abstractNumId w:val="9"/>
  </w:num>
  <w:num w:numId="15" w16cid:durableId="1706758653">
    <w:abstractNumId w:val="13"/>
  </w:num>
  <w:num w:numId="16" w16cid:durableId="753866633">
    <w:abstractNumId w:val="15"/>
  </w:num>
  <w:num w:numId="17" w16cid:durableId="2145392292">
    <w:abstractNumId w:val="5"/>
  </w:num>
  <w:num w:numId="18" w16cid:durableId="31183809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5"/>
  <w:printFractionalCharacterWidth/>
  <w:bordersDoNotSurroundHeader/>
  <w:bordersDoNotSurroundFooter/>
  <w:proofState w:spelling="clean" w:grammar="clean"/>
  <w:attachedTemplate r:id="rId1"/>
  <w:stylePaneSortMethod w:val="0000"/>
  <w:defaultTabStop w:val="1304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7D24"/>
    <w:rsid w:val="00002468"/>
    <w:rsid w:val="00022211"/>
    <w:rsid w:val="00066781"/>
    <w:rsid w:val="00066B64"/>
    <w:rsid w:val="00094F20"/>
    <w:rsid w:val="000B22B0"/>
    <w:rsid w:val="000B54A5"/>
    <w:rsid w:val="000B56B8"/>
    <w:rsid w:val="000B7D24"/>
    <w:rsid w:val="000D0F91"/>
    <w:rsid w:val="000E706E"/>
    <w:rsid w:val="000F4AFF"/>
    <w:rsid w:val="000F6927"/>
    <w:rsid w:val="00107C4A"/>
    <w:rsid w:val="0015176B"/>
    <w:rsid w:val="001A0B34"/>
    <w:rsid w:val="001A1D85"/>
    <w:rsid w:val="001B5B92"/>
    <w:rsid w:val="001B6B5A"/>
    <w:rsid w:val="001B77A9"/>
    <w:rsid w:val="001C310B"/>
    <w:rsid w:val="001C5A92"/>
    <w:rsid w:val="001C7AFB"/>
    <w:rsid w:val="001F2412"/>
    <w:rsid w:val="001F24E2"/>
    <w:rsid w:val="00202135"/>
    <w:rsid w:val="00206729"/>
    <w:rsid w:val="00213555"/>
    <w:rsid w:val="002339A8"/>
    <w:rsid w:val="00272E3C"/>
    <w:rsid w:val="00295276"/>
    <w:rsid w:val="002A1752"/>
    <w:rsid w:val="002B1106"/>
    <w:rsid w:val="002B1F6D"/>
    <w:rsid w:val="002C2FE5"/>
    <w:rsid w:val="002C499F"/>
    <w:rsid w:val="002C651C"/>
    <w:rsid w:val="002E3090"/>
    <w:rsid w:val="002E342C"/>
    <w:rsid w:val="00306E88"/>
    <w:rsid w:val="00331574"/>
    <w:rsid w:val="00387AE3"/>
    <w:rsid w:val="00391E67"/>
    <w:rsid w:val="0039380F"/>
    <w:rsid w:val="00396E47"/>
    <w:rsid w:val="003A2E0F"/>
    <w:rsid w:val="004069C7"/>
    <w:rsid w:val="00413BA4"/>
    <w:rsid w:val="00420633"/>
    <w:rsid w:val="004267D2"/>
    <w:rsid w:val="00430B10"/>
    <w:rsid w:val="00431594"/>
    <w:rsid w:val="004501AF"/>
    <w:rsid w:val="00465CDC"/>
    <w:rsid w:val="00470CF5"/>
    <w:rsid w:val="00482F02"/>
    <w:rsid w:val="0048570E"/>
    <w:rsid w:val="00490004"/>
    <w:rsid w:val="004B02C0"/>
    <w:rsid w:val="004B05A4"/>
    <w:rsid w:val="004B260C"/>
    <w:rsid w:val="004B4A0A"/>
    <w:rsid w:val="004D493F"/>
    <w:rsid w:val="004D6301"/>
    <w:rsid w:val="004D7D87"/>
    <w:rsid w:val="00504ECD"/>
    <w:rsid w:val="005060FA"/>
    <w:rsid w:val="005076E4"/>
    <w:rsid w:val="005178B8"/>
    <w:rsid w:val="00554D29"/>
    <w:rsid w:val="005849BD"/>
    <w:rsid w:val="00587FA7"/>
    <w:rsid w:val="005912CB"/>
    <w:rsid w:val="005960DD"/>
    <w:rsid w:val="005A0105"/>
    <w:rsid w:val="005A194E"/>
    <w:rsid w:val="005A56C5"/>
    <w:rsid w:val="005D18B7"/>
    <w:rsid w:val="005D655B"/>
    <w:rsid w:val="00602F37"/>
    <w:rsid w:val="00613038"/>
    <w:rsid w:val="006942D2"/>
    <w:rsid w:val="006A184B"/>
    <w:rsid w:val="006A7158"/>
    <w:rsid w:val="006B0830"/>
    <w:rsid w:val="00703D98"/>
    <w:rsid w:val="00721BAF"/>
    <w:rsid w:val="00762320"/>
    <w:rsid w:val="007932D2"/>
    <w:rsid w:val="007A10A5"/>
    <w:rsid w:val="007C3EE5"/>
    <w:rsid w:val="007C7583"/>
    <w:rsid w:val="007E4F0E"/>
    <w:rsid w:val="007F4463"/>
    <w:rsid w:val="00803B73"/>
    <w:rsid w:val="008125E6"/>
    <w:rsid w:val="00813CFA"/>
    <w:rsid w:val="008148F6"/>
    <w:rsid w:val="00850EB4"/>
    <w:rsid w:val="00866550"/>
    <w:rsid w:val="008767E6"/>
    <w:rsid w:val="008905F3"/>
    <w:rsid w:val="008A3D34"/>
    <w:rsid w:val="008B5515"/>
    <w:rsid w:val="008C1A87"/>
    <w:rsid w:val="008E1C5A"/>
    <w:rsid w:val="008E5922"/>
    <w:rsid w:val="008F38B3"/>
    <w:rsid w:val="008F4BB6"/>
    <w:rsid w:val="00915708"/>
    <w:rsid w:val="009246D4"/>
    <w:rsid w:val="00933C7A"/>
    <w:rsid w:val="00942413"/>
    <w:rsid w:val="009430A7"/>
    <w:rsid w:val="00945CA1"/>
    <w:rsid w:val="00946454"/>
    <w:rsid w:val="00955958"/>
    <w:rsid w:val="009607E1"/>
    <w:rsid w:val="00961770"/>
    <w:rsid w:val="00970DAA"/>
    <w:rsid w:val="009731D4"/>
    <w:rsid w:val="00990C4A"/>
    <w:rsid w:val="009C0DCC"/>
    <w:rsid w:val="00A00E35"/>
    <w:rsid w:val="00A13193"/>
    <w:rsid w:val="00A23B2B"/>
    <w:rsid w:val="00A55844"/>
    <w:rsid w:val="00A5673F"/>
    <w:rsid w:val="00A64615"/>
    <w:rsid w:val="00A723BA"/>
    <w:rsid w:val="00A7745D"/>
    <w:rsid w:val="00A80F07"/>
    <w:rsid w:val="00A9265E"/>
    <w:rsid w:val="00AB51FC"/>
    <w:rsid w:val="00AE0D72"/>
    <w:rsid w:val="00AF0C9E"/>
    <w:rsid w:val="00B11A82"/>
    <w:rsid w:val="00B11AC7"/>
    <w:rsid w:val="00B22235"/>
    <w:rsid w:val="00B603F7"/>
    <w:rsid w:val="00B6165E"/>
    <w:rsid w:val="00B812E5"/>
    <w:rsid w:val="00B91956"/>
    <w:rsid w:val="00B941C8"/>
    <w:rsid w:val="00BB182C"/>
    <w:rsid w:val="00BB411D"/>
    <w:rsid w:val="00BC703E"/>
    <w:rsid w:val="00BD0497"/>
    <w:rsid w:val="00BE1616"/>
    <w:rsid w:val="00C02FA0"/>
    <w:rsid w:val="00C24BED"/>
    <w:rsid w:val="00C3726B"/>
    <w:rsid w:val="00C42732"/>
    <w:rsid w:val="00C52E3D"/>
    <w:rsid w:val="00C53C79"/>
    <w:rsid w:val="00C6420E"/>
    <w:rsid w:val="00C70539"/>
    <w:rsid w:val="00C84CA1"/>
    <w:rsid w:val="00CB08B9"/>
    <w:rsid w:val="00CD09C9"/>
    <w:rsid w:val="00CD5C99"/>
    <w:rsid w:val="00D02BA1"/>
    <w:rsid w:val="00D03187"/>
    <w:rsid w:val="00D214CE"/>
    <w:rsid w:val="00D22DD9"/>
    <w:rsid w:val="00D305B1"/>
    <w:rsid w:val="00D33D03"/>
    <w:rsid w:val="00D51A89"/>
    <w:rsid w:val="00D56E61"/>
    <w:rsid w:val="00D571CD"/>
    <w:rsid w:val="00D6438C"/>
    <w:rsid w:val="00D66850"/>
    <w:rsid w:val="00D67AA2"/>
    <w:rsid w:val="00D7757E"/>
    <w:rsid w:val="00D836E5"/>
    <w:rsid w:val="00D90426"/>
    <w:rsid w:val="00DA4426"/>
    <w:rsid w:val="00DA5967"/>
    <w:rsid w:val="00DB394B"/>
    <w:rsid w:val="00DC3552"/>
    <w:rsid w:val="00DC58EB"/>
    <w:rsid w:val="00DD2D27"/>
    <w:rsid w:val="00DE2366"/>
    <w:rsid w:val="00DF0083"/>
    <w:rsid w:val="00DF1F17"/>
    <w:rsid w:val="00E01121"/>
    <w:rsid w:val="00E034C3"/>
    <w:rsid w:val="00E06F42"/>
    <w:rsid w:val="00E11B34"/>
    <w:rsid w:val="00E20A1A"/>
    <w:rsid w:val="00E26D13"/>
    <w:rsid w:val="00E31411"/>
    <w:rsid w:val="00E40DE7"/>
    <w:rsid w:val="00E50009"/>
    <w:rsid w:val="00E521EC"/>
    <w:rsid w:val="00EB5A6F"/>
    <w:rsid w:val="00EB73C9"/>
    <w:rsid w:val="00EC5AB5"/>
    <w:rsid w:val="00ED533C"/>
    <w:rsid w:val="00EE4FE2"/>
    <w:rsid w:val="00EE5086"/>
    <w:rsid w:val="00F27195"/>
    <w:rsid w:val="00F318B6"/>
    <w:rsid w:val="00F32AD7"/>
    <w:rsid w:val="00F503EF"/>
    <w:rsid w:val="00F55DE6"/>
    <w:rsid w:val="00F6600C"/>
    <w:rsid w:val="00F8040C"/>
    <w:rsid w:val="00F910C4"/>
    <w:rsid w:val="00F91348"/>
    <w:rsid w:val="00FA5DA2"/>
    <w:rsid w:val="00FB0E86"/>
    <w:rsid w:val="00FB3FE3"/>
    <w:rsid w:val="00FB4ADC"/>
    <w:rsid w:val="00FB52F4"/>
    <w:rsid w:val="00FD71F4"/>
    <w:rsid w:val="00FF293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,"/>
  <w14:docId w14:val="2BBD1C7A"/>
  <w14:defaultImageDpi w14:val="300"/>
  <w15:docId w15:val="{928979A9-D108-7449-B8D1-A04C930F8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sz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1A89"/>
    <w:pPr>
      <w:spacing w:after="120" w:line="240" w:lineRule="atLeast"/>
    </w:pPr>
    <w:rPr>
      <w:rFonts w:ascii="Segoe UI Historic" w:hAnsi="Segoe UI Historic"/>
    </w:rPr>
  </w:style>
  <w:style w:type="paragraph" w:styleId="Heading1">
    <w:name w:val="heading 1"/>
    <w:basedOn w:val="Normal"/>
    <w:next w:val="Normal"/>
    <w:qFormat/>
    <w:rsid w:val="00813CFA"/>
    <w:pPr>
      <w:keepNext/>
      <w:spacing w:before="120"/>
      <w:outlineLvl w:val="0"/>
    </w:pPr>
    <w:rPr>
      <w:b/>
      <w:sz w:val="26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51A89"/>
    <w:pPr>
      <w:keepNext/>
      <w:spacing w:before="240" w:after="60"/>
      <w:outlineLvl w:val="1"/>
    </w:pPr>
    <w:rPr>
      <w:b/>
      <w:bCs/>
      <w:iCs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F1FFA"/>
    <w:pPr>
      <w:keepNext/>
      <w:spacing w:before="240" w:after="60"/>
      <w:outlineLvl w:val="2"/>
    </w:pPr>
    <w:rPr>
      <w:bCs/>
      <w:i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DF1FFA"/>
    <w:pPr>
      <w:spacing w:line="220" w:lineRule="atLeast"/>
      <w:ind w:right="-1076"/>
      <w:jc w:val="center"/>
    </w:pPr>
    <w:rPr>
      <w:rFonts w:ascii="Arial" w:hAnsi="Arial"/>
      <w:sz w:val="16"/>
    </w:rPr>
  </w:style>
  <w:style w:type="paragraph" w:styleId="Header">
    <w:name w:val="header"/>
    <w:basedOn w:val="Normal"/>
    <w:qFormat/>
    <w:rsid w:val="00813CFA"/>
    <w:pPr>
      <w:tabs>
        <w:tab w:val="right" w:pos="8840"/>
      </w:tabs>
      <w:ind w:left="-1060"/>
      <w:jc w:val="center"/>
    </w:pPr>
    <w:rPr>
      <w:b/>
      <w:sz w:val="28"/>
    </w:rPr>
  </w:style>
  <w:style w:type="paragraph" w:styleId="Title">
    <w:name w:val="Title"/>
    <w:basedOn w:val="Normal"/>
    <w:next w:val="Normal"/>
    <w:link w:val="TitleChar"/>
    <w:uiPriority w:val="10"/>
    <w:qFormat/>
    <w:rsid w:val="005960DD"/>
    <w:pPr>
      <w:spacing w:line="240" w:lineRule="auto"/>
      <w:contextualSpacing/>
      <w:jc w:val="center"/>
    </w:pPr>
    <w:rPr>
      <w:rFonts w:eastAsiaTheme="majorEastAsia" w:cs="Times New Roman (Headings CS)"/>
      <w:b/>
      <w:spacing w:val="-10"/>
      <w:kern w:val="28"/>
      <w:sz w:val="30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960DD"/>
    <w:rPr>
      <w:rFonts w:ascii="Segoe UI Historic" w:eastAsiaTheme="majorEastAsia" w:hAnsi="Segoe UI Historic" w:cs="Times New Roman (Headings CS)"/>
      <w:b/>
      <w:spacing w:val="-10"/>
      <w:kern w:val="28"/>
      <w:sz w:val="30"/>
      <w:szCs w:val="56"/>
    </w:rPr>
  </w:style>
  <w:style w:type="paragraph" w:styleId="ListParagraph">
    <w:name w:val="List Paragraph"/>
    <w:basedOn w:val="Normal"/>
    <w:uiPriority w:val="34"/>
    <w:rsid w:val="004B4A0A"/>
    <w:pPr>
      <w:ind w:left="720"/>
      <w:contextualSpacing/>
    </w:pPr>
  </w:style>
  <w:style w:type="character" w:styleId="Hyperlink">
    <w:name w:val="Hyperlink"/>
    <w:basedOn w:val="DefaultParagraphFont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C014A"/>
    <w:rPr>
      <w:color w:val="800080"/>
      <w:u w:val="single"/>
    </w:rPr>
  </w:style>
  <w:style w:type="character" w:customStyle="1" w:styleId="FooterChar">
    <w:name w:val="Footer Char"/>
    <w:basedOn w:val="DefaultParagraphFont"/>
    <w:link w:val="Footer"/>
    <w:rsid w:val="00DF1FFA"/>
    <w:rPr>
      <w:rFonts w:ascii="Arial" w:hAnsi="Arial"/>
      <w:sz w:val="16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51A89"/>
    <w:rPr>
      <w:rFonts w:ascii="Segoe UI Historic" w:hAnsi="Segoe UI Historic"/>
      <w:b/>
      <w:bCs/>
      <w:iCs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F1FFA"/>
    <w:rPr>
      <w:rFonts w:ascii="Arial" w:eastAsia="Times New Roman" w:hAnsi="Arial" w:cs="Times New Roman"/>
      <w:bCs/>
      <w:i/>
      <w:sz w:val="24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0F91"/>
    <w:pPr>
      <w:spacing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0F91"/>
    <w:rPr>
      <w:rFonts w:ascii="Lucida Grande" w:hAnsi="Lucida Grande" w:cs="Lucida Grande"/>
      <w:sz w:val="18"/>
      <w:szCs w:val="18"/>
      <w:lang w:val="en-GB" w:eastAsia="sv-S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3726B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C7053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SE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654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530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214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92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1256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480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550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986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65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88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792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290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589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62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5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0489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531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18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890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9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903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088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7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579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6954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151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07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580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9599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Library/Application%20Support/Microsoft/Office365/User%20Content.localized/Templates.localized/Letter/Letter%20-%20blank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 - blank template.dotx</Template>
  <TotalTime>44</TotalTime>
  <Pages>2</Pages>
  <Words>416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Brevmall</vt:lpstr>
    </vt:vector>
  </TitlesOfParts>
  <Manager/>
  <Company>European Spallation Source ESS AB</Company>
  <LinksUpToDate>false</LinksUpToDate>
  <CharactersWithSpaces>2787</CharactersWithSpaces>
  <SharedDoc>false</SharedDoc>
  <HyperlinkBase/>
  <HLinks>
    <vt:vector size="12" baseType="variant">
      <vt:variant>
        <vt:i4>7733260</vt:i4>
      </vt:variant>
      <vt:variant>
        <vt:i4>3</vt:i4>
      </vt:variant>
      <vt:variant>
        <vt:i4>0</vt:i4>
      </vt:variant>
      <vt:variant>
        <vt:i4>5</vt:i4>
      </vt:variant>
      <vt:variant>
        <vt:lpwstr>http://www.esss.se/</vt:lpwstr>
      </vt:variant>
      <vt:variant>
        <vt:lpwstr/>
      </vt:variant>
      <vt:variant>
        <vt:i4>2359371</vt:i4>
      </vt:variant>
      <vt:variant>
        <vt:i4>2795</vt:i4>
      </vt:variant>
      <vt:variant>
        <vt:i4>1025</vt:i4>
      </vt:variant>
      <vt:variant>
        <vt:i4>1</vt:i4>
      </vt:variant>
      <vt:variant>
        <vt:lpwstr>ESS_Businessletter_100804_cc_header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Brevmall</dc:title>
  <dc:subject/>
  <dc:creator>Pascale Deen</dc:creator>
  <cp:keywords/>
  <dc:description/>
  <cp:lastModifiedBy>Pascale Deen</cp:lastModifiedBy>
  <cp:revision>159</cp:revision>
  <cp:lastPrinted>2013-10-11T12:26:00Z</cp:lastPrinted>
  <dcterms:created xsi:type="dcterms:W3CDTF">2025-04-04T12:07:00Z</dcterms:created>
  <dcterms:modified xsi:type="dcterms:W3CDTF">2025-04-04T14:07:00Z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XName">
    <vt:lpwstr>ESS-0064767</vt:lpwstr>
  </property>
</Properties>
</file>