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7554A" w14:textId="77777777" w:rsidR="00F12CB4" w:rsidRPr="00B54E4A" w:rsidRDefault="00F12CB4" w:rsidP="005457E2">
      <w:pPr>
        <w:rPr>
          <w:rFonts w:asciiTheme="minorHAnsi" w:hAnsiTheme="minorHAnsi" w:cstheme="minorHAnsi"/>
        </w:rPr>
      </w:pPr>
    </w:p>
    <w:tbl>
      <w:tblPr>
        <w:tblStyle w:val="TableGrid"/>
        <w:tblW w:w="0" w:type="auto"/>
        <w:jc w:val="center"/>
        <w:tblLook w:val="04A0" w:firstRow="1" w:lastRow="0" w:firstColumn="1" w:lastColumn="0" w:noHBand="0" w:noVBand="1"/>
      </w:tblPr>
      <w:tblGrid>
        <w:gridCol w:w="8982"/>
      </w:tblGrid>
      <w:tr w:rsidR="00CC775B" w:rsidRPr="00B54E4A" w14:paraId="655A8D9B" w14:textId="77777777" w:rsidTr="006272CA">
        <w:trPr>
          <w:jc w:val="center"/>
        </w:trPr>
        <w:tc>
          <w:tcPr>
            <w:tcW w:w="8982" w:type="dxa"/>
            <w:tcBorders>
              <w:top w:val="nil"/>
              <w:left w:val="nil"/>
              <w:bottom w:val="thickThinSmallGap" w:sz="24" w:space="0" w:color="auto"/>
              <w:right w:val="nil"/>
            </w:tcBorders>
          </w:tcPr>
          <w:p w14:paraId="2D9FC523" w14:textId="77777777" w:rsidR="00CC775B" w:rsidRPr="00B54E4A" w:rsidRDefault="00CC775B" w:rsidP="008E155D">
            <w:pPr>
              <w:rPr>
                <w:rFonts w:asciiTheme="minorHAnsi" w:hAnsiTheme="minorHAnsi" w:cstheme="minorHAnsi"/>
              </w:rPr>
            </w:pPr>
          </w:p>
        </w:tc>
      </w:tr>
      <w:tr w:rsidR="00CC775B" w:rsidRPr="00B54E4A" w14:paraId="738B3A25" w14:textId="77777777" w:rsidTr="006272CA">
        <w:trPr>
          <w:jc w:val="center"/>
        </w:trPr>
        <w:tc>
          <w:tcPr>
            <w:tcW w:w="8982" w:type="dxa"/>
            <w:tcBorders>
              <w:top w:val="thickThinSmallGap" w:sz="24" w:space="0" w:color="auto"/>
              <w:left w:val="nil"/>
              <w:bottom w:val="thickThinSmallGap" w:sz="24" w:space="0" w:color="auto"/>
              <w:right w:val="nil"/>
            </w:tcBorders>
          </w:tcPr>
          <w:p w14:paraId="5DF74E7F" w14:textId="3787EB8D" w:rsidR="00CC775B" w:rsidRPr="00B54E4A" w:rsidRDefault="001F21E9" w:rsidP="008A3FA3">
            <w:pPr>
              <w:pStyle w:val="Documenttitle"/>
              <w:rPr>
                <w:rFonts w:asciiTheme="minorHAnsi" w:hAnsiTheme="minorHAnsi" w:cstheme="minorHAnsi"/>
                <w:lang w:val="en-US"/>
              </w:rPr>
            </w:pPr>
            <w:r w:rsidRPr="00B54E4A">
              <w:rPr>
                <w:rFonts w:asciiTheme="minorHAnsi" w:hAnsiTheme="minorHAnsi" w:cstheme="minorHAnsi"/>
              </w:rPr>
              <w:fldChar w:fldCharType="begin"/>
            </w:r>
            <w:r w:rsidRPr="00B54E4A">
              <w:rPr>
                <w:rFonts w:asciiTheme="minorHAnsi" w:hAnsiTheme="minorHAnsi" w:cstheme="minorHAnsi"/>
                <w:lang w:val="en-US"/>
              </w:rPr>
              <w:instrText xml:space="preserve"> DOCPROPERTY "MXTitle"  \* MERGEFORMAT </w:instrText>
            </w:r>
            <w:r w:rsidRPr="00B54E4A">
              <w:rPr>
                <w:rFonts w:asciiTheme="minorHAnsi" w:hAnsiTheme="minorHAnsi" w:cstheme="minorHAnsi"/>
              </w:rPr>
              <w:fldChar w:fldCharType="separate"/>
            </w:r>
            <w:r w:rsidRPr="00B54E4A">
              <w:rPr>
                <w:rFonts w:asciiTheme="minorHAnsi" w:hAnsiTheme="minorHAnsi" w:cstheme="minorHAnsi"/>
                <w:lang w:val="en-US"/>
              </w:rPr>
              <w:t>BIFROST - System V</w:t>
            </w:r>
            <w:r w:rsidR="00D23074" w:rsidRPr="00B54E4A">
              <w:rPr>
                <w:rFonts w:asciiTheme="minorHAnsi" w:hAnsiTheme="minorHAnsi" w:cstheme="minorHAnsi"/>
                <w:lang w:val="en-US"/>
              </w:rPr>
              <w:t>ALIDATION</w:t>
            </w:r>
            <w:r w:rsidRPr="00B54E4A">
              <w:rPr>
                <w:rFonts w:asciiTheme="minorHAnsi" w:hAnsiTheme="minorHAnsi" w:cstheme="minorHAnsi"/>
                <w:lang w:val="en-US"/>
              </w:rPr>
              <w:t xml:space="preserve"> &amp; V</w:t>
            </w:r>
            <w:r w:rsidR="00D23074" w:rsidRPr="00B54E4A">
              <w:rPr>
                <w:rFonts w:asciiTheme="minorHAnsi" w:hAnsiTheme="minorHAnsi" w:cstheme="minorHAnsi"/>
                <w:lang w:val="en-US"/>
              </w:rPr>
              <w:t>ERIFICATION</w:t>
            </w:r>
            <w:r w:rsidRPr="00B54E4A">
              <w:rPr>
                <w:rFonts w:asciiTheme="minorHAnsi" w:hAnsiTheme="minorHAnsi" w:cstheme="minorHAnsi"/>
                <w:lang w:val="en-US"/>
              </w:rPr>
              <w:t xml:space="preserve"> Plan</w:t>
            </w:r>
            <w:r w:rsidRPr="00B54E4A">
              <w:rPr>
                <w:rFonts w:asciiTheme="minorHAnsi" w:hAnsiTheme="minorHAnsi" w:cstheme="minorHAnsi"/>
              </w:rPr>
              <w:fldChar w:fldCharType="end"/>
            </w:r>
          </w:p>
        </w:tc>
      </w:tr>
      <w:tr w:rsidR="00CC775B" w:rsidRPr="00B54E4A" w14:paraId="79F71110" w14:textId="77777777" w:rsidTr="006272CA">
        <w:trPr>
          <w:jc w:val="center"/>
        </w:trPr>
        <w:tc>
          <w:tcPr>
            <w:tcW w:w="8982" w:type="dxa"/>
            <w:tcBorders>
              <w:top w:val="thickThinSmallGap" w:sz="24" w:space="0" w:color="auto"/>
              <w:left w:val="nil"/>
              <w:bottom w:val="nil"/>
              <w:right w:val="nil"/>
            </w:tcBorders>
          </w:tcPr>
          <w:p w14:paraId="3F429FBE" w14:textId="77777777" w:rsidR="00CC775B" w:rsidRPr="00B54E4A" w:rsidRDefault="00CC775B" w:rsidP="00CC775B">
            <w:pPr>
              <w:rPr>
                <w:rFonts w:asciiTheme="minorHAnsi" w:hAnsiTheme="minorHAnsi" w:cstheme="minorHAnsi"/>
                <w:lang w:val="en-US"/>
              </w:rPr>
            </w:pPr>
          </w:p>
        </w:tc>
      </w:tr>
    </w:tbl>
    <w:p w14:paraId="1656993D" w14:textId="77777777" w:rsidR="00CB4DA4" w:rsidRPr="00B54E4A" w:rsidRDefault="00CB4DA4" w:rsidP="005457E2">
      <w:pPr>
        <w:rPr>
          <w:rFonts w:asciiTheme="minorHAnsi" w:hAnsiTheme="minorHAnsi" w:cstheme="minorHAnsi"/>
          <w:lang w:val="en-US"/>
        </w:rPr>
      </w:pPr>
    </w:p>
    <w:p w14:paraId="1341678B" w14:textId="77777777" w:rsidR="005457E2" w:rsidRPr="00B54E4A" w:rsidRDefault="005457E2" w:rsidP="005457E2">
      <w:pPr>
        <w:rPr>
          <w:rFonts w:asciiTheme="minorHAnsi" w:hAnsiTheme="minorHAnsi" w:cstheme="minorHAnsi"/>
          <w:lang w:val="en-US"/>
        </w:rPr>
      </w:pPr>
    </w:p>
    <w:tbl>
      <w:tblPr>
        <w:tblW w:w="5000" w:type="pct"/>
        <w:tblCellMar>
          <w:left w:w="70" w:type="dxa"/>
          <w:right w:w="70" w:type="dxa"/>
        </w:tblCellMar>
        <w:tblLook w:val="0000" w:firstRow="0" w:lastRow="0" w:firstColumn="0" w:lastColumn="0" w:noHBand="0" w:noVBand="0"/>
      </w:tblPr>
      <w:tblGrid>
        <w:gridCol w:w="1609"/>
        <w:gridCol w:w="3067"/>
        <w:gridCol w:w="4958"/>
      </w:tblGrid>
      <w:tr w:rsidR="00F13777" w:rsidRPr="00B54E4A" w14:paraId="169A5FAF" w14:textId="77777777" w:rsidTr="00590145">
        <w:trPr>
          <w:cantSplit/>
          <w:tblHeader/>
        </w:trPr>
        <w:tc>
          <w:tcPr>
            <w:tcW w:w="835" w:type="pct"/>
            <w:tcBorders>
              <w:bottom w:val="single" w:sz="4" w:space="0" w:color="auto"/>
              <w:right w:val="single" w:sz="4" w:space="0" w:color="auto"/>
            </w:tcBorders>
            <w:shd w:val="clear" w:color="auto" w:fill="auto"/>
          </w:tcPr>
          <w:p w14:paraId="4F2E03AE" w14:textId="77777777" w:rsidR="00F13777" w:rsidRPr="00B0530E" w:rsidRDefault="00F13777" w:rsidP="00430064">
            <w:pPr>
              <w:pStyle w:val="ESS-TableHeader"/>
              <w:rPr>
                <w:rFonts w:cs="Segoe UI Historic"/>
                <w:sz w:val="20"/>
                <w:szCs w:val="20"/>
                <w:lang w:val="en-US"/>
              </w:rPr>
            </w:pP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33500F4A" w14:textId="77777777" w:rsidR="00F13777" w:rsidRPr="00B0530E" w:rsidRDefault="00F13777" w:rsidP="00430064">
            <w:pPr>
              <w:pStyle w:val="ESS-TableHeader"/>
              <w:rPr>
                <w:rFonts w:cs="Segoe UI Historic"/>
                <w:sz w:val="20"/>
                <w:szCs w:val="20"/>
              </w:rPr>
            </w:pPr>
            <w:r w:rsidRPr="00B0530E">
              <w:rPr>
                <w:rFonts w:cs="Segoe UI Historic"/>
                <w:sz w:val="20"/>
                <w:szCs w:val="20"/>
              </w:rPr>
              <w:t>Name</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216764FF" w14:textId="77777777" w:rsidR="00F13777" w:rsidRPr="00B0530E" w:rsidRDefault="00F13777" w:rsidP="00430064">
            <w:pPr>
              <w:pStyle w:val="ESS-TableHeader"/>
              <w:rPr>
                <w:rFonts w:cs="Segoe UI Historic"/>
                <w:sz w:val="20"/>
                <w:szCs w:val="20"/>
              </w:rPr>
            </w:pPr>
            <w:r w:rsidRPr="00B0530E">
              <w:rPr>
                <w:rFonts w:cs="Segoe UI Historic"/>
                <w:sz w:val="20"/>
                <w:szCs w:val="20"/>
              </w:rPr>
              <w:t>Role/Title</w:t>
            </w:r>
          </w:p>
        </w:tc>
      </w:tr>
      <w:tr w:rsidR="00F13777" w:rsidRPr="00B54E4A" w14:paraId="46D794AF"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3B557645" w14:textId="77777777" w:rsidR="00F13777" w:rsidRPr="00B0530E" w:rsidRDefault="00F13777" w:rsidP="00430064">
            <w:pPr>
              <w:pStyle w:val="ESS-TableHeader"/>
              <w:rPr>
                <w:rFonts w:cs="Segoe UI Historic"/>
                <w:sz w:val="20"/>
                <w:szCs w:val="20"/>
              </w:rPr>
            </w:pPr>
            <w:r w:rsidRPr="00B0530E">
              <w:rPr>
                <w:rFonts w:cs="Segoe UI Historic"/>
                <w:sz w:val="20"/>
                <w:szCs w:val="20"/>
              </w:rPr>
              <w:t>Owner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8A709A9" w14:textId="145C4299" w:rsidR="00F13777" w:rsidRPr="00B0530E" w:rsidRDefault="00D23074" w:rsidP="00430064">
            <w:pPr>
              <w:pStyle w:val="ESS-TableText"/>
              <w:rPr>
                <w:rFonts w:cs="Segoe UI Historic"/>
                <w:sz w:val="20"/>
                <w:szCs w:val="20"/>
              </w:rPr>
            </w:pPr>
            <w:r w:rsidRPr="00B0530E">
              <w:rPr>
                <w:rFonts w:cs="Segoe UI Historic"/>
                <w:sz w:val="20"/>
                <w:szCs w:val="20"/>
              </w:rPr>
              <w:t>Rasmus Toft-Petersen</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1B2A7502" w14:textId="5F78D39F" w:rsidR="00F13777" w:rsidRPr="00B0530E" w:rsidRDefault="00D23074" w:rsidP="00430064">
            <w:pPr>
              <w:pStyle w:val="ESS-TableText"/>
              <w:rPr>
                <w:rFonts w:cs="Segoe UI Historic"/>
                <w:sz w:val="20"/>
                <w:szCs w:val="20"/>
              </w:rPr>
            </w:pPr>
            <w:r w:rsidRPr="00B0530E">
              <w:rPr>
                <w:rFonts w:cs="Segoe UI Historic"/>
                <w:sz w:val="20"/>
                <w:szCs w:val="20"/>
              </w:rPr>
              <w:t>BIFROST – Lead instrument scientist</w:t>
            </w:r>
          </w:p>
        </w:tc>
      </w:tr>
      <w:tr w:rsidR="00F13777" w:rsidRPr="00B54E4A" w14:paraId="071B7218"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576FD7F0" w14:textId="77777777" w:rsidR="00F13777" w:rsidRPr="00B0530E" w:rsidRDefault="00F13777" w:rsidP="00430064">
            <w:pPr>
              <w:pStyle w:val="ESS-TableHeader"/>
              <w:rPr>
                <w:rFonts w:cs="Segoe UI Historic"/>
                <w:sz w:val="20"/>
                <w:szCs w:val="20"/>
              </w:rPr>
            </w:pPr>
            <w:r w:rsidRPr="00B0530E">
              <w:rPr>
                <w:rFonts w:cs="Segoe UI Historic"/>
                <w:sz w:val="20"/>
                <w:szCs w:val="20"/>
              </w:rPr>
              <w:t>Reviewer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2C6238F2" w14:textId="49E101EA" w:rsidR="00D23074" w:rsidRPr="00B0530E" w:rsidRDefault="00D23074" w:rsidP="00D23074">
            <w:pPr>
              <w:pStyle w:val="ESS-TableText"/>
              <w:rPr>
                <w:rFonts w:cs="Segoe UI Historic"/>
                <w:sz w:val="20"/>
                <w:szCs w:val="20"/>
              </w:rPr>
            </w:pPr>
            <w:r w:rsidRPr="00B0530E">
              <w:rPr>
                <w:rFonts w:cs="Segoe UI Historic"/>
                <w:sz w:val="20"/>
                <w:szCs w:val="20"/>
              </w:rPr>
              <w:t>Giuseppe Aprigliano/Gabor Laszlo</w:t>
            </w:r>
          </w:p>
          <w:p w14:paraId="4F2F6B8E" w14:textId="77777777" w:rsidR="00D23074" w:rsidRPr="00B0530E" w:rsidRDefault="00D23074" w:rsidP="00D23074">
            <w:pPr>
              <w:pStyle w:val="ESS-TableText"/>
              <w:rPr>
                <w:rFonts w:cs="Segoe UI Historic"/>
                <w:sz w:val="20"/>
                <w:szCs w:val="20"/>
              </w:rPr>
            </w:pPr>
            <w:r w:rsidRPr="00B0530E">
              <w:rPr>
                <w:rFonts w:cs="Segoe UI Historic"/>
                <w:sz w:val="20"/>
                <w:szCs w:val="20"/>
              </w:rPr>
              <w:t>Per Roos</w:t>
            </w:r>
          </w:p>
          <w:p w14:paraId="693DF466" w14:textId="77777777" w:rsidR="00D23074" w:rsidRPr="00B0530E" w:rsidRDefault="00D23074" w:rsidP="00D23074">
            <w:pPr>
              <w:pStyle w:val="ESS-TableText"/>
              <w:rPr>
                <w:rFonts w:cs="Segoe UI Historic"/>
                <w:sz w:val="20"/>
                <w:szCs w:val="20"/>
              </w:rPr>
            </w:pPr>
            <w:r w:rsidRPr="00B0530E">
              <w:rPr>
                <w:rFonts w:cs="Segoe UI Historic"/>
                <w:sz w:val="20"/>
                <w:szCs w:val="20"/>
              </w:rPr>
              <w:t>Helen Boyer</w:t>
            </w:r>
          </w:p>
          <w:p w14:paraId="78BBEE45" w14:textId="0795D49D" w:rsidR="00F13777" w:rsidRPr="00B0530E" w:rsidRDefault="00D23074" w:rsidP="00D23074">
            <w:pPr>
              <w:pStyle w:val="ESS-TableText"/>
              <w:rPr>
                <w:rFonts w:cs="Segoe UI Historic"/>
                <w:sz w:val="20"/>
                <w:szCs w:val="20"/>
              </w:rPr>
            </w:pPr>
            <w:r w:rsidRPr="00B0530E">
              <w:rPr>
                <w:rFonts w:cs="Segoe UI Historic"/>
                <w:sz w:val="20"/>
                <w:szCs w:val="20"/>
              </w:rPr>
              <w:t>Hanna Wacklin-Knecht</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BE8BAA3" w14:textId="076DA81C" w:rsidR="00D23074" w:rsidRPr="00B0530E" w:rsidRDefault="00D23074" w:rsidP="00D23074">
            <w:pPr>
              <w:pStyle w:val="ESS-TableText"/>
              <w:rPr>
                <w:rFonts w:cs="Segoe UI Historic"/>
                <w:sz w:val="20"/>
                <w:szCs w:val="20"/>
              </w:rPr>
            </w:pPr>
            <w:r w:rsidRPr="00B0530E">
              <w:rPr>
                <w:rFonts w:cs="Segoe UI Historic"/>
                <w:sz w:val="20"/>
                <w:szCs w:val="20"/>
              </w:rPr>
              <w:t>NSS Engineering</w:t>
            </w:r>
          </w:p>
          <w:p w14:paraId="28A4B31D" w14:textId="77777777" w:rsidR="00D23074" w:rsidRPr="00B0530E" w:rsidRDefault="00D23074" w:rsidP="00D23074">
            <w:pPr>
              <w:pStyle w:val="ESS-TableText"/>
              <w:rPr>
                <w:rFonts w:cs="Segoe UI Historic"/>
                <w:sz w:val="20"/>
                <w:szCs w:val="20"/>
              </w:rPr>
            </w:pPr>
            <w:r w:rsidRPr="00B0530E">
              <w:rPr>
                <w:rFonts w:cs="Segoe UI Historic"/>
                <w:sz w:val="20"/>
                <w:szCs w:val="20"/>
              </w:rPr>
              <w:t>RP</w:t>
            </w:r>
          </w:p>
          <w:p w14:paraId="5178369A" w14:textId="77777777" w:rsidR="00D23074" w:rsidRPr="00B0530E" w:rsidRDefault="00D23074" w:rsidP="00D23074">
            <w:pPr>
              <w:pStyle w:val="ESS-TableText"/>
              <w:rPr>
                <w:rFonts w:cs="Segoe UI Historic"/>
                <w:sz w:val="20"/>
                <w:szCs w:val="20"/>
              </w:rPr>
            </w:pPr>
            <w:r w:rsidRPr="00B0530E">
              <w:rPr>
                <w:rFonts w:cs="Segoe UI Historic"/>
                <w:sz w:val="20"/>
                <w:szCs w:val="20"/>
              </w:rPr>
              <w:t>OSH</w:t>
            </w:r>
          </w:p>
          <w:p w14:paraId="0BD38E56" w14:textId="77777777" w:rsidR="00D23074" w:rsidRPr="00B0530E" w:rsidRDefault="00D23074" w:rsidP="00D23074">
            <w:pPr>
              <w:pStyle w:val="ESS-TableText"/>
              <w:rPr>
                <w:rFonts w:cs="Segoe UI Historic"/>
                <w:sz w:val="20"/>
                <w:szCs w:val="20"/>
              </w:rPr>
            </w:pPr>
            <w:r w:rsidRPr="00B0530E">
              <w:rPr>
                <w:rFonts w:cs="Segoe UI Historic"/>
                <w:sz w:val="20"/>
                <w:szCs w:val="20"/>
              </w:rPr>
              <w:t>SSD</w:t>
            </w:r>
          </w:p>
          <w:p w14:paraId="5CB0D655" w14:textId="4E082B4B" w:rsidR="00F13777" w:rsidRPr="00B0530E" w:rsidRDefault="00D23074" w:rsidP="00D23074">
            <w:pPr>
              <w:pStyle w:val="ESS-TableText"/>
              <w:rPr>
                <w:rFonts w:cs="Segoe UI Historic"/>
                <w:sz w:val="20"/>
                <w:szCs w:val="20"/>
              </w:rPr>
            </w:pPr>
            <w:r w:rsidRPr="00B0530E">
              <w:rPr>
                <w:rFonts w:cs="Segoe UI Historic"/>
                <w:sz w:val="20"/>
                <w:szCs w:val="20"/>
              </w:rPr>
              <w:t>DMSC</w:t>
            </w:r>
          </w:p>
        </w:tc>
      </w:tr>
      <w:tr w:rsidR="00F13777" w:rsidRPr="00B54E4A" w14:paraId="46044990" w14:textId="77777777" w:rsidTr="00590145">
        <w:trPr>
          <w:cantSplit/>
        </w:trPr>
        <w:tc>
          <w:tcPr>
            <w:tcW w:w="835" w:type="pct"/>
            <w:tcBorders>
              <w:top w:val="single" w:sz="4" w:space="0" w:color="auto"/>
              <w:left w:val="single" w:sz="4" w:space="0" w:color="auto"/>
              <w:bottom w:val="single" w:sz="4" w:space="0" w:color="auto"/>
              <w:right w:val="single" w:sz="4" w:space="0" w:color="auto"/>
            </w:tcBorders>
            <w:shd w:val="clear" w:color="auto" w:fill="auto"/>
          </w:tcPr>
          <w:p w14:paraId="42F4B5D2" w14:textId="77777777" w:rsidR="00F13777" w:rsidRPr="00B0530E" w:rsidRDefault="00F13777" w:rsidP="00430064">
            <w:pPr>
              <w:pStyle w:val="ESS-TableHeader"/>
              <w:rPr>
                <w:rFonts w:cs="Segoe UI Historic"/>
                <w:sz w:val="20"/>
                <w:szCs w:val="20"/>
              </w:rPr>
            </w:pPr>
            <w:r w:rsidRPr="00B0530E">
              <w:rPr>
                <w:rFonts w:cs="Segoe UI Historic"/>
                <w:sz w:val="20"/>
                <w:szCs w:val="20"/>
              </w:rPr>
              <w:t>Approver</w:t>
            </w:r>
          </w:p>
        </w:tc>
        <w:tc>
          <w:tcPr>
            <w:tcW w:w="1592" w:type="pct"/>
            <w:tcBorders>
              <w:top w:val="single" w:sz="4" w:space="0" w:color="auto"/>
              <w:left w:val="single" w:sz="4" w:space="0" w:color="auto"/>
              <w:bottom w:val="single" w:sz="4" w:space="0" w:color="auto"/>
              <w:right w:val="single" w:sz="4" w:space="0" w:color="auto"/>
            </w:tcBorders>
            <w:shd w:val="clear" w:color="auto" w:fill="auto"/>
          </w:tcPr>
          <w:p w14:paraId="5465F542" w14:textId="12A1EE8C" w:rsidR="00D23074" w:rsidRPr="00B0530E" w:rsidRDefault="00D23074" w:rsidP="00D23074">
            <w:pPr>
              <w:pStyle w:val="ESS-TableText"/>
              <w:rPr>
                <w:rFonts w:cs="Segoe UI Historic"/>
                <w:sz w:val="20"/>
                <w:szCs w:val="20"/>
              </w:rPr>
            </w:pPr>
            <w:r w:rsidRPr="00B0530E">
              <w:rPr>
                <w:rFonts w:cs="Segoe UI Historic"/>
                <w:sz w:val="20"/>
                <w:szCs w:val="20"/>
              </w:rPr>
              <w:t>Pascale Deen</w:t>
            </w:r>
          </w:p>
          <w:p w14:paraId="40F00E7C" w14:textId="667EC5A2" w:rsidR="00F13777" w:rsidRPr="00B0530E" w:rsidRDefault="00D23074" w:rsidP="00D23074">
            <w:pPr>
              <w:pStyle w:val="ESS-TableText"/>
              <w:rPr>
                <w:rFonts w:cs="Segoe UI Historic"/>
                <w:sz w:val="20"/>
                <w:szCs w:val="20"/>
              </w:rPr>
            </w:pPr>
            <w:r w:rsidRPr="00B0530E">
              <w:rPr>
                <w:rFonts w:cs="Segoe UI Historic"/>
                <w:sz w:val="20"/>
                <w:szCs w:val="20"/>
              </w:rPr>
              <w:t>Rob Connatser</w:t>
            </w:r>
          </w:p>
        </w:tc>
        <w:tc>
          <w:tcPr>
            <w:tcW w:w="2573" w:type="pct"/>
            <w:tcBorders>
              <w:top w:val="single" w:sz="4" w:space="0" w:color="auto"/>
              <w:left w:val="single" w:sz="4" w:space="0" w:color="auto"/>
              <w:bottom w:val="single" w:sz="4" w:space="0" w:color="auto"/>
              <w:right w:val="single" w:sz="4" w:space="0" w:color="auto"/>
            </w:tcBorders>
            <w:shd w:val="clear" w:color="auto" w:fill="auto"/>
          </w:tcPr>
          <w:p w14:paraId="52B9A6DA" w14:textId="2A70647D" w:rsidR="00D23074" w:rsidRPr="00B0530E" w:rsidRDefault="00D23074" w:rsidP="00D23074">
            <w:pPr>
              <w:pStyle w:val="ESS-TableText"/>
              <w:rPr>
                <w:rFonts w:cs="Segoe UI Historic"/>
                <w:sz w:val="20"/>
                <w:szCs w:val="20"/>
              </w:rPr>
            </w:pPr>
            <w:r w:rsidRPr="00B0530E">
              <w:rPr>
                <w:rFonts w:cs="Segoe UI Historic"/>
                <w:sz w:val="20"/>
                <w:szCs w:val="20"/>
              </w:rPr>
              <w:t>Head of Spectroscopy Division</w:t>
            </w:r>
          </w:p>
          <w:p w14:paraId="546872AD" w14:textId="09D5420D" w:rsidR="00F13777" w:rsidRPr="00B0530E" w:rsidRDefault="00131E01" w:rsidP="00D23074">
            <w:pPr>
              <w:pStyle w:val="ESS-TableText"/>
              <w:rPr>
                <w:rFonts w:cs="Segoe UI Historic"/>
                <w:sz w:val="20"/>
                <w:szCs w:val="20"/>
              </w:rPr>
            </w:pPr>
            <w:r w:rsidRPr="00131E01">
              <w:rPr>
                <w:rFonts w:cs="Segoe UI Historic"/>
                <w:sz w:val="20"/>
                <w:szCs w:val="20"/>
              </w:rPr>
              <w:t>Head of Neutron Scattering Systems Division</w:t>
            </w:r>
          </w:p>
        </w:tc>
      </w:tr>
    </w:tbl>
    <w:p w14:paraId="2D86F6AD" w14:textId="77777777" w:rsidR="008E155D" w:rsidRPr="00B54E4A" w:rsidRDefault="008E155D" w:rsidP="005457E2">
      <w:pPr>
        <w:rPr>
          <w:rFonts w:asciiTheme="minorHAnsi" w:hAnsiTheme="minorHAnsi" w:cstheme="minorHAnsi"/>
        </w:rPr>
      </w:pPr>
    </w:p>
    <w:p w14:paraId="2DB20AC3" w14:textId="77777777" w:rsidR="008E155D" w:rsidRPr="00B54E4A" w:rsidRDefault="008E155D" w:rsidP="005457E2">
      <w:pPr>
        <w:rPr>
          <w:rFonts w:asciiTheme="minorHAnsi" w:hAnsiTheme="minorHAnsi" w:cstheme="minorHAnsi"/>
        </w:rPr>
      </w:pPr>
    </w:p>
    <w:p w14:paraId="50ED634C" w14:textId="77777777" w:rsidR="00D23074" w:rsidRPr="00B54E4A" w:rsidRDefault="00D23074" w:rsidP="005457E2">
      <w:pPr>
        <w:rPr>
          <w:rFonts w:asciiTheme="minorHAnsi" w:hAnsiTheme="minorHAnsi" w:cstheme="minorHAnsi"/>
        </w:rPr>
      </w:pPr>
    </w:p>
    <w:p w14:paraId="5CA6FCA2" w14:textId="77777777" w:rsidR="00D23074" w:rsidRPr="00B54E4A" w:rsidRDefault="00D23074" w:rsidP="005457E2">
      <w:pPr>
        <w:rPr>
          <w:rFonts w:asciiTheme="minorHAnsi" w:hAnsiTheme="minorHAnsi" w:cstheme="minorHAnsi"/>
        </w:rPr>
      </w:pPr>
    </w:p>
    <w:p w14:paraId="0865F321" w14:textId="77777777" w:rsidR="00D23074" w:rsidRPr="00B54E4A" w:rsidRDefault="00D23074" w:rsidP="005457E2">
      <w:pPr>
        <w:rPr>
          <w:rFonts w:asciiTheme="minorHAnsi" w:hAnsiTheme="minorHAnsi" w:cstheme="minorHAnsi"/>
        </w:rPr>
      </w:pPr>
    </w:p>
    <w:p w14:paraId="36C37690" w14:textId="77777777" w:rsidR="00D23074" w:rsidRPr="00B54E4A" w:rsidRDefault="00D23074" w:rsidP="005457E2">
      <w:pPr>
        <w:rPr>
          <w:rFonts w:asciiTheme="minorHAnsi" w:hAnsiTheme="minorHAnsi" w:cstheme="minorHAnsi"/>
        </w:rPr>
      </w:pPr>
    </w:p>
    <w:p w14:paraId="6690331A" w14:textId="77777777" w:rsidR="00D23074" w:rsidRPr="00B54E4A" w:rsidRDefault="00D23074" w:rsidP="005457E2">
      <w:pPr>
        <w:rPr>
          <w:rFonts w:asciiTheme="minorHAnsi" w:hAnsiTheme="minorHAnsi" w:cstheme="minorHAnsi"/>
        </w:rPr>
      </w:pPr>
    </w:p>
    <w:p w14:paraId="79C48964" w14:textId="77777777" w:rsidR="00D23074" w:rsidRPr="00B54E4A" w:rsidRDefault="00D23074" w:rsidP="005457E2">
      <w:pPr>
        <w:rPr>
          <w:rFonts w:asciiTheme="minorHAnsi" w:hAnsiTheme="minorHAnsi" w:cstheme="minorHAnsi"/>
        </w:rPr>
      </w:pPr>
    </w:p>
    <w:p w14:paraId="05C99FEF" w14:textId="77777777" w:rsidR="00D23074" w:rsidRPr="00B54E4A" w:rsidRDefault="00D23074" w:rsidP="005457E2">
      <w:pPr>
        <w:rPr>
          <w:rFonts w:asciiTheme="minorHAnsi" w:hAnsiTheme="minorHAnsi" w:cstheme="minorHAnsi"/>
        </w:rPr>
      </w:pPr>
    </w:p>
    <w:p w14:paraId="37967469" w14:textId="77777777" w:rsidR="00D23074" w:rsidRPr="00B54E4A" w:rsidRDefault="00D23074" w:rsidP="005457E2">
      <w:pPr>
        <w:rPr>
          <w:rFonts w:asciiTheme="minorHAnsi" w:hAnsiTheme="minorHAnsi" w:cstheme="minorHAnsi"/>
        </w:rPr>
      </w:pPr>
    </w:p>
    <w:p w14:paraId="768EF4B1" w14:textId="77777777" w:rsidR="00D23074" w:rsidRPr="00B54E4A" w:rsidRDefault="00D23074" w:rsidP="005457E2">
      <w:pPr>
        <w:rPr>
          <w:rFonts w:asciiTheme="minorHAnsi" w:hAnsiTheme="minorHAnsi" w:cstheme="minorHAnsi"/>
        </w:rPr>
      </w:pPr>
    </w:p>
    <w:p w14:paraId="00F85D1A" w14:textId="77777777" w:rsidR="00D23074" w:rsidRPr="00B54E4A" w:rsidRDefault="00D23074" w:rsidP="005457E2">
      <w:pPr>
        <w:rPr>
          <w:rFonts w:asciiTheme="minorHAnsi" w:hAnsiTheme="minorHAnsi" w:cstheme="minorHAnsi"/>
        </w:rPr>
      </w:pPr>
    </w:p>
    <w:p w14:paraId="69D607E1" w14:textId="77777777" w:rsidR="00D23074" w:rsidRPr="00B54E4A" w:rsidRDefault="00D23074" w:rsidP="005457E2">
      <w:pPr>
        <w:rPr>
          <w:rFonts w:asciiTheme="minorHAnsi" w:hAnsiTheme="minorHAnsi" w:cstheme="minorHAnsi"/>
        </w:rPr>
      </w:pPr>
    </w:p>
    <w:p w14:paraId="3CD24885" w14:textId="77777777" w:rsidR="00D23074" w:rsidRPr="00B54E4A" w:rsidRDefault="00D23074" w:rsidP="005457E2">
      <w:pPr>
        <w:rPr>
          <w:rFonts w:asciiTheme="minorHAnsi" w:hAnsiTheme="minorHAnsi" w:cstheme="minorHAnsi"/>
        </w:rPr>
      </w:pPr>
    </w:p>
    <w:p w14:paraId="0BD7013E" w14:textId="77777777" w:rsidR="00D23074" w:rsidRPr="00B54E4A" w:rsidRDefault="00D23074" w:rsidP="005457E2">
      <w:pPr>
        <w:rPr>
          <w:rFonts w:asciiTheme="minorHAnsi" w:hAnsiTheme="minorHAnsi" w:cstheme="minorHAnsi"/>
        </w:rPr>
      </w:pPr>
    </w:p>
    <w:p w14:paraId="7B6AAAC2" w14:textId="77777777" w:rsidR="00D23074" w:rsidRPr="00B54E4A" w:rsidRDefault="00D23074" w:rsidP="005457E2">
      <w:pPr>
        <w:rPr>
          <w:rFonts w:asciiTheme="minorHAnsi" w:hAnsiTheme="minorHAnsi" w:cstheme="minorHAnsi"/>
        </w:rPr>
      </w:pPr>
    </w:p>
    <w:p w14:paraId="30B992DC" w14:textId="77777777" w:rsidR="00D23074" w:rsidRPr="00B54E4A" w:rsidRDefault="00D23074" w:rsidP="005457E2">
      <w:pPr>
        <w:rPr>
          <w:rFonts w:asciiTheme="minorHAnsi" w:hAnsiTheme="minorHAnsi" w:cstheme="minorHAnsi"/>
        </w:rPr>
      </w:pPr>
    </w:p>
    <w:p w14:paraId="782D3B31" w14:textId="77777777" w:rsidR="00D23074" w:rsidRPr="00B54E4A" w:rsidRDefault="00D23074" w:rsidP="005457E2">
      <w:pPr>
        <w:rPr>
          <w:rFonts w:asciiTheme="minorHAnsi" w:hAnsiTheme="minorHAnsi" w:cstheme="minorHAnsi"/>
        </w:rPr>
      </w:pPr>
    </w:p>
    <w:p w14:paraId="3809CBC6" w14:textId="77777777" w:rsidR="00D23074" w:rsidRPr="00B54E4A" w:rsidRDefault="00D23074" w:rsidP="005457E2">
      <w:pPr>
        <w:rPr>
          <w:rFonts w:asciiTheme="minorHAnsi" w:hAnsiTheme="minorHAnsi" w:cstheme="minorHAnsi"/>
        </w:rPr>
      </w:pPr>
    </w:p>
    <w:p w14:paraId="77ED169E" w14:textId="77777777" w:rsidR="00D23074" w:rsidRPr="00B54E4A" w:rsidRDefault="00D23074" w:rsidP="005457E2">
      <w:pPr>
        <w:rPr>
          <w:rFonts w:asciiTheme="minorHAnsi" w:hAnsiTheme="minorHAnsi" w:cstheme="minorHAnsi"/>
        </w:rPr>
      </w:pPr>
    </w:p>
    <w:p w14:paraId="22A2DA2F" w14:textId="77777777" w:rsidR="00156192" w:rsidRPr="0078645E" w:rsidRDefault="00156192" w:rsidP="00531785">
      <w:pPr>
        <w:pStyle w:val="TOCHeading1"/>
        <w:rPr>
          <w:rFonts w:cs="Segoe UI Historic"/>
        </w:rPr>
      </w:pPr>
      <w:r w:rsidRPr="0078645E">
        <w:rPr>
          <w:rFonts w:cs="Segoe UI Historic"/>
        </w:rPr>
        <w:t>TABLE OF CONTENT</w:t>
      </w:r>
      <w:r w:rsidRPr="0078645E">
        <w:rPr>
          <w:rFonts w:cs="Segoe UI Historic"/>
        </w:rPr>
        <w:tab/>
        <w:t>PAGE</w:t>
      </w:r>
    </w:p>
    <w:p w14:paraId="622D4EC5" w14:textId="0A3A9930" w:rsidR="007A51A9" w:rsidRDefault="00197B0F">
      <w:pPr>
        <w:pStyle w:val="TOC1"/>
        <w:rPr>
          <w:rFonts w:asciiTheme="minorHAnsi" w:eastAsiaTheme="minorEastAsia" w:hAnsiTheme="minorHAnsi" w:cstheme="minorBidi"/>
          <w:caps w:val="0"/>
          <w:kern w:val="2"/>
          <w:sz w:val="24"/>
          <w:szCs w:val="24"/>
          <w:lang w:val="sv-SE" w:eastAsia="sv-SE"/>
          <w14:ligatures w14:val="standardContextual"/>
        </w:rPr>
      </w:pPr>
      <w:r w:rsidRPr="00B54E4A">
        <w:rPr>
          <w:rFonts w:asciiTheme="minorHAnsi" w:hAnsiTheme="minorHAnsi" w:cstheme="minorHAnsi"/>
        </w:rPr>
        <w:fldChar w:fldCharType="begin"/>
      </w:r>
      <w:r w:rsidRPr="00B54E4A">
        <w:rPr>
          <w:rFonts w:asciiTheme="minorHAnsi" w:hAnsiTheme="minorHAnsi" w:cstheme="minorHAnsi"/>
        </w:rPr>
        <w:instrText xml:space="preserve"> TOC \o "1-3" \h \z </w:instrText>
      </w:r>
      <w:r w:rsidRPr="00B54E4A">
        <w:rPr>
          <w:rFonts w:asciiTheme="minorHAnsi" w:hAnsiTheme="minorHAnsi" w:cstheme="minorHAnsi"/>
        </w:rPr>
        <w:fldChar w:fldCharType="separate"/>
      </w:r>
      <w:hyperlink w:anchor="_Toc199928622" w:history="1">
        <w:r w:rsidR="007A51A9" w:rsidRPr="000D1AEA">
          <w:rPr>
            <w:rStyle w:val="Hyperlink"/>
          </w:rPr>
          <w:t>1.</w:t>
        </w:r>
        <w:r w:rsidR="007A51A9">
          <w:rPr>
            <w:rFonts w:asciiTheme="minorHAnsi" w:eastAsiaTheme="minorEastAsia" w:hAnsiTheme="minorHAnsi" w:cstheme="minorBidi"/>
            <w:caps w:val="0"/>
            <w:kern w:val="2"/>
            <w:sz w:val="24"/>
            <w:szCs w:val="24"/>
            <w:lang w:val="sv-SE" w:eastAsia="sv-SE"/>
            <w14:ligatures w14:val="standardContextual"/>
          </w:rPr>
          <w:tab/>
        </w:r>
        <w:r w:rsidR="007A51A9" w:rsidRPr="000D1AEA">
          <w:rPr>
            <w:rStyle w:val="Hyperlink"/>
          </w:rPr>
          <w:t>Introduction</w:t>
        </w:r>
        <w:r w:rsidR="007A51A9">
          <w:rPr>
            <w:webHidden/>
          </w:rPr>
          <w:tab/>
        </w:r>
        <w:r w:rsidR="007A51A9">
          <w:rPr>
            <w:webHidden/>
          </w:rPr>
          <w:fldChar w:fldCharType="begin"/>
        </w:r>
        <w:r w:rsidR="007A51A9">
          <w:rPr>
            <w:webHidden/>
          </w:rPr>
          <w:instrText xml:space="preserve"> PAGEREF _Toc199928622 \h </w:instrText>
        </w:r>
        <w:r w:rsidR="007A51A9">
          <w:rPr>
            <w:webHidden/>
          </w:rPr>
        </w:r>
        <w:r w:rsidR="007A51A9">
          <w:rPr>
            <w:webHidden/>
          </w:rPr>
          <w:fldChar w:fldCharType="separate"/>
        </w:r>
        <w:r w:rsidR="007A51A9">
          <w:rPr>
            <w:webHidden/>
          </w:rPr>
          <w:t>5</w:t>
        </w:r>
        <w:r w:rsidR="007A51A9">
          <w:rPr>
            <w:webHidden/>
          </w:rPr>
          <w:fldChar w:fldCharType="end"/>
        </w:r>
      </w:hyperlink>
    </w:p>
    <w:p w14:paraId="7F33BBD9" w14:textId="22AD33C4"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23" w:history="1">
        <w:r w:rsidRPr="000D1AEA">
          <w:rPr>
            <w:rStyle w:val="Hyperlink"/>
          </w:rPr>
          <w:t>1.1.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Purpose of this document</w:t>
        </w:r>
        <w:r>
          <w:rPr>
            <w:webHidden/>
          </w:rPr>
          <w:tab/>
        </w:r>
        <w:r>
          <w:rPr>
            <w:webHidden/>
          </w:rPr>
          <w:fldChar w:fldCharType="begin"/>
        </w:r>
        <w:r>
          <w:rPr>
            <w:webHidden/>
          </w:rPr>
          <w:instrText xml:space="preserve"> PAGEREF _Toc199928623 \h </w:instrText>
        </w:r>
        <w:r>
          <w:rPr>
            <w:webHidden/>
          </w:rPr>
        </w:r>
        <w:r>
          <w:rPr>
            <w:webHidden/>
          </w:rPr>
          <w:fldChar w:fldCharType="separate"/>
        </w:r>
        <w:r>
          <w:rPr>
            <w:webHidden/>
          </w:rPr>
          <w:t>5</w:t>
        </w:r>
        <w:r>
          <w:rPr>
            <w:webHidden/>
          </w:rPr>
          <w:fldChar w:fldCharType="end"/>
        </w:r>
      </w:hyperlink>
    </w:p>
    <w:p w14:paraId="7EBA5D54" w14:textId="4C0CA43E"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24" w:history="1">
        <w:r w:rsidRPr="000D1AEA">
          <w:rPr>
            <w:rStyle w:val="Hyperlink"/>
          </w:rPr>
          <w:t>1.2.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Definitions, acronyms and abbreviations</w:t>
        </w:r>
        <w:r>
          <w:rPr>
            <w:webHidden/>
          </w:rPr>
          <w:tab/>
        </w:r>
        <w:r>
          <w:rPr>
            <w:webHidden/>
          </w:rPr>
          <w:fldChar w:fldCharType="begin"/>
        </w:r>
        <w:r>
          <w:rPr>
            <w:webHidden/>
          </w:rPr>
          <w:instrText xml:space="preserve"> PAGEREF _Toc199928624 \h </w:instrText>
        </w:r>
        <w:r>
          <w:rPr>
            <w:webHidden/>
          </w:rPr>
        </w:r>
        <w:r>
          <w:rPr>
            <w:webHidden/>
          </w:rPr>
          <w:fldChar w:fldCharType="separate"/>
        </w:r>
        <w:r>
          <w:rPr>
            <w:webHidden/>
          </w:rPr>
          <w:t>5</w:t>
        </w:r>
        <w:r>
          <w:rPr>
            <w:webHidden/>
          </w:rPr>
          <w:fldChar w:fldCharType="end"/>
        </w:r>
      </w:hyperlink>
    </w:p>
    <w:p w14:paraId="4E9B5620" w14:textId="059D9085" w:rsidR="007A51A9" w:rsidRDefault="007A51A9">
      <w:pPr>
        <w:pStyle w:val="TOC1"/>
        <w:rPr>
          <w:rFonts w:asciiTheme="minorHAnsi" w:eastAsiaTheme="minorEastAsia" w:hAnsiTheme="minorHAnsi" w:cstheme="minorBidi"/>
          <w:caps w:val="0"/>
          <w:kern w:val="2"/>
          <w:sz w:val="24"/>
          <w:szCs w:val="24"/>
          <w:lang w:val="sv-SE" w:eastAsia="sv-SE"/>
          <w14:ligatures w14:val="standardContextual"/>
        </w:rPr>
      </w:pPr>
      <w:hyperlink w:anchor="_Toc199928625" w:history="1">
        <w:r w:rsidRPr="000D1AEA">
          <w:rPr>
            <w:rStyle w:val="Hyperlink"/>
          </w:rPr>
          <w:t>2.</w:t>
        </w:r>
        <w:r>
          <w:rPr>
            <w:rFonts w:asciiTheme="minorHAnsi" w:eastAsiaTheme="minorEastAsia" w:hAnsiTheme="minorHAnsi" w:cstheme="minorBidi"/>
            <w:caps w:val="0"/>
            <w:kern w:val="2"/>
            <w:sz w:val="24"/>
            <w:szCs w:val="24"/>
            <w:lang w:val="sv-SE" w:eastAsia="sv-SE"/>
            <w14:ligatures w14:val="standardContextual"/>
          </w:rPr>
          <w:tab/>
        </w:r>
        <w:r w:rsidRPr="000D1AEA">
          <w:rPr>
            <w:rStyle w:val="Hyperlink"/>
          </w:rPr>
          <w:t>Cold commissioning (VERIFICATION)</w:t>
        </w:r>
        <w:r>
          <w:rPr>
            <w:webHidden/>
          </w:rPr>
          <w:tab/>
        </w:r>
        <w:r>
          <w:rPr>
            <w:webHidden/>
          </w:rPr>
          <w:fldChar w:fldCharType="begin"/>
        </w:r>
        <w:r>
          <w:rPr>
            <w:webHidden/>
          </w:rPr>
          <w:instrText xml:space="preserve"> PAGEREF _Toc199928625 \h </w:instrText>
        </w:r>
        <w:r>
          <w:rPr>
            <w:webHidden/>
          </w:rPr>
        </w:r>
        <w:r>
          <w:rPr>
            <w:webHidden/>
          </w:rPr>
          <w:fldChar w:fldCharType="separate"/>
        </w:r>
        <w:r>
          <w:rPr>
            <w:webHidden/>
          </w:rPr>
          <w:t>5</w:t>
        </w:r>
        <w:r>
          <w:rPr>
            <w:webHidden/>
          </w:rPr>
          <w:fldChar w:fldCharType="end"/>
        </w:r>
      </w:hyperlink>
    </w:p>
    <w:p w14:paraId="3843F825" w14:textId="0B1AEF57"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26" w:history="1">
        <w:r w:rsidRPr="000D1AEA">
          <w:rPr>
            <w:rStyle w:val="Hyperlink"/>
          </w:rPr>
          <w:t>2.1.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FBS and Test Reports</w:t>
        </w:r>
        <w:r>
          <w:rPr>
            <w:webHidden/>
          </w:rPr>
          <w:tab/>
        </w:r>
        <w:r>
          <w:rPr>
            <w:webHidden/>
          </w:rPr>
          <w:fldChar w:fldCharType="begin"/>
        </w:r>
        <w:r>
          <w:rPr>
            <w:webHidden/>
          </w:rPr>
          <w:instrText xml:space="preserve"> PAGEREF _Toc199928626 \h </w:instrText>
        </w:r>
        <w:r>
          <w:rPr>
            <w:webHidden/>
          </w:rPr>
        </w:r>
        <w:r>
          <w:rPr>
            <w:webHidden/>
          </w:rPr>
          <w:fldChar w:fldCharType="separate"/>
        </w:r>
        <w:r>
          <w:rPr>
            <w:webHidden/>
          </w:rPr>
          <w:t>6</w:t>
        </w:r>
        <w:r>
          <w:rPr>
            <w:webHidden/>
          </w:rPr>
          <w:fldChar w:fldCharType="end"/>
        </w:r>
      </w:hyperlink>
    </w:p>
    <w:p w14:paraId="22937A36" w14:textId="3925047C" w:rsidR="007A51A9" w:rsidRDefault="007A51A9">
      <w:pPr>
        <w:pStyle w:val="TOC1"/>
        <w:rPr>
          <w:rFonts w:asciiTheme="minorHAnsi" w:eastAsiaTheme="minorEastAsia" w:hAnsiTheme="minorHAnsi" w:cstheme="minorBidi"/>
          <w:caps w:val="0"/>
          <w:kern w:val="2"/>
          <w:sz w:val="24"/>
          <w:szCs w:val="24"/>
          <w:lang w:val="sv-SE" w:eastAsia="sv-SE"/>
          <w14:ligatures w14:val="standardContextual"/>
        </w:rPr>
      </w:pPr>
      <w:hyperlink w:anchor="_Toc199928627" w:history="1">
        <w:r w:rsidRPr="000D1AEA">
          <w:rPr>
            <w:rStyle w:val="Hyperlink"/>
          </w:rPr>
          <w:t>3.</w:t>
        </w:r>
        <w:r>
          <w:rPr>
            <w:rFonts w:asciiTheme="minorHAnsi" w:eastAsiaTheme="minorEastAsia" w:hAnsiTheme="minorHAnsi" w:cstheme="minorBidi"/>
            <w:caps w:val="0"/>
            <w:kern w:val="2"/>
            <w:sz w:val="24"/>
            <w:szCs w:val="24"/>
            <w:lang w:val="sv-SE" w:eastAsia="sv-SE"/>
            <w14:ligatures w14:val="standardContextual"/>
          </w:rPr>
          <w:tab/>
        </w:r>
        <w:r w:rsidRPr="000D1AEA">
          <w:rPr>
            <w:rStyle w:val="Hyperlink"/>
          </w:rPr>
          <w:t>Hot Commisioning (VALIDATION)</w:t>
        </w:r>
        <w:r>
          <w:rPr>
            <w:webHidden/>
          </w:rPr>
          <w:tab/>
        </w:r>
        <w:r>
          <w:rPr>
            <w:webHidden/>
          </w:rPr>
          <w:fldChar w:fldCharType="begin"/>
        </w:r>
        <w:r>
          <w:rPr>
            <w:webHidden/>
          </w:rPr>
          <w:instrText xml:space="preserve"> PAGEREF _Toc199928627 \h </w:instrText>
        </w:r>
        <w:r>
          <w:rPr>
            <w:webHidden/>
          </w:rPr>
        </w:r>
        <w:r>
          <w:rPr>
            <w:webHidden/>
          </w:rPr>
          <w:fldChar w:fldCharType="separate"/>
        </w:r>
        <w:r>
          <w:rPr>
            <w:webHidden/>
          </w:rPr>
          <w:t>7</w:t>
        </w:r>
        <w:r>
          <w:rPr>
            <w:webHidden/>
          </w:rPr>
          <w:fldChar w:fldCharType="end"/>
        </w:r>
      </w:hyperlink>
    </w:p>
    <w:p w14:paraId="0EC42A22" w14:textId="00C421B1"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28" w:history="1">
        <w:r w:rsidRPr="000D1AEA">
          <w:rPr>
            <w:rStyle w:val="Hyperlink"/>
          </w:rPr>
          <w:t>3.1.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High Level Scientific Requirements</w:t>
        </w:r>
        <w:r>
          <w:rPr>
            <w:webHidden/>
          </w:rPr>
          <w:tab/>
        </w:r>
        <w:r>
          <w:rPr>
            <w:webHidden/>
          </w:rPr>
          <w:fldChar w:fldCharType="begin"/>
        </w:r>
        <w:r>
          <w:rPr>
            <w:webHidden/>
          </w:rPr>
          <w:instrText xml:space="preserve"> PAGEREF _Toc199928628 \h </w:instrText>
        </w:r>
        <w:r>
          <w:rPr>
            <w:webHidden/>
          </w:rPr>
        </w:r>
        <w:r>
          <w:rPr>
            <w:webHidden/>
          </w:rPr>
          <w:fldChar w:fldCharType="separate"/>
        </w:r>
        <w:r>
          <w:rPr>
            <w:webHidden/>
          </w:rPr>
          <w:t>7</w:t>
        </w:r>
        <w:r>
          <w:rPr>
            <w:webHidden/>
          </w:rPr>
          <w:fldChar w:fldCharType="end"/>
        </w:r>
      </w:hyperlink>
    </w:p>
    <w:p w14:paraId="16911CE4" w14:textId="12CDE07F"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29" w:history="1">
        <w:r w:rsidRPr="000D1AEA">
          <w:rPr>
            <w:rStyle w:val="Hyperlink"/>
          </w:rPr>
          <w:t>3.2.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Hot Commisioning Plan</w:t>
        </w:r>
        <w:r>
          <w:rPr>
            <w:webHidden/>
          </w:rPr>
          <w:tab/>
        </w:r>
        <w:r>
          <w:rPr>
            <w:webHidden/>
          </w:rPr>
          <w:fldChar w:fldCharType="begin"/>
        </w:r>
        <w:r>
          <w:rPr>
            <w:webHidden/>
          </w:rPr>
          <w:instrText xml:space="preserve"> PAGEREF _Toc199928629 \h </w:instrText>
        </w:r>
        <w:r>
          <w:rPr>
            <w:webHidden/>
          </w:rPr>
        </w:r>
        <w:r>
          <w:rPr>
            <w:webHidden/>
          </w:rPr>
          <w:fldChar w:fldCharType="separate"/>
        </w:r>
        <w:r>
          <w:rPr>
            <w:webHidden/>
          </w:rPr>
          <w:t>8</w:t>
        </w:r>
        <w:r>
          <w:rPr>
            <w:webHidden/>
          </w:rPr>
          <w:fldChar w:fldCharType="end"/>
        </w:r>
      </w:hyperlink>
    </w:p>
    <w:p w14:paraId="580E15B1" w14:textId="69965AEB"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30" w:history="1">
        <w:r w:rsidRPr="000D1AEA">
          <w:rPr>
            <w:rStyle w:val="Hyperlink"/>
          </w:rPr>
          <w:t>3.3.</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Assumptions &amp; methodology</w:t>
        </w:r>
        <w:r>
          <w:rPr>
            <w:webHidden/>
          </w:rPr>
          <w:tab/>
        </w:r>
        <w:r>
          <w:rPr>
            <w:webHidden/>
          </w:rPr>
          <w:fldChar w:fldCharType="begin"/>
        </w:r>
        <w:r>
          <w:rPr>
            <w:webHidden/>
          </w:rPr>
          <w:instrText xml:space="preserve"> PAGEREF _Toc199928630 \h </w:instrText>
        </w:r>
        <w:r>
          <w:rPr>
            <w:webHidden/>
          </w:rPr>
        </w:r>
        <w:r>
          <w:rPr>
            <w:webHidden/>
          </w:rPr>
          <w:fldChar w:fldCharType="separate"/>
        </w:r>
        <w:r>
          <w:rPr>
            <w:webHidden/>
          </w:rPr>
          <w:t>9</w:t>
        </w:r>
        <w:r>
          <w:rPr>
            <w:webHidden/>
          </w:rPr>
          <w:fldChar w:fldCharType="end"/>
        </w:r>
      </w:hyperlink>
    </w:p>
    <w:p w14:paraId="2F63105A" w14:textId="7F73E493"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31" w:history="1">
        <w:r w:rsidRPr="000D1AEA">
          <w:rPr>
            <w:rStyle w:val="Hyperlink"/>
          </w:rPr>
          <w:t>3.4.</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Fulfil radiation protection requirements</w:t>
        </w:r>
        <w:r>
          <w:rPr>
            <w:webHidden/>
          </w:rPr>
          <w:tab/>
        </w:r>
        <w:r>
          <w:rPr>
            <w:webHidden/>
          </w:rPr>
          <w:fldChar w:fldCharType="begin"/>
        </w:r>
        <w:r>
          <w:rPr>
            <w:webHidden/>
          </w:rPr>
          <w:instrText xml:space="preserve"> PAGEREF _Toc199928631 \h </w:instrText>
        </w:r>
        <w:r>
          <w:rPr>
            <w:webHidden/>
          </w:rPr>
        </w:r>
        <w:r>
          <w:rPr>
            <w:webHidden/>
          </w:rPr>
          <w:fldChar w:fldCharType="separate"/>
        </w:r>
        <w:r>
          <w:rPr>
            <w:webHidden/>
          </w:rPr>
          <w:t>9</w:t>
        </w:r>
        <w:r>
          <w:rPr>
            <w:webHidden/>
          </w:rPr>
          <w:fldChar w:fldCharType="end"/>
        </w:r>
      </w:hyperlink>
    </w:p>
    <w:p w14:paraId="06771980" w14:textId="6EE4A0E1"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32" w:history="1">
        <w:r w:rsidRPr="000D1AEA">
          <w:rPr>
            <w:rStyle w:val="Hyperlink"/>
          </w:rPr>
          <w:t>3.4.1.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Instrument thermal shutter (4 days)</w:t>
        </w:r>
        <w:r>
          <w:rPr>
            <w:webHidden/>
          </w:rPr>
          <w:tab/>
        </w:r>
        <w:r>
          <w:rPr>
            <w:webHidden/>
          </w:rPr>
          <w:fldChar w:fldCharType="begin"/>
        </w:r>
        <w:r>
          <w:rPr>
            <w:webHidden/>
          </w:rPr>
          <w:instrText xml:space="preserve"> PAGEREF _Toc199928632 \h </w:instrText>
        </w:r>
        <w:r>
          <w:rPr>
            <w:webHidden/>
          </w:rPr>
        </w:r>
        <w:r>
          <w:rPr>
            <w:webHidden/>
          </w:rPr>
          <w:fldChar w:fldCharType="separate"/>
        </w:r>
        <w:r>
          <w:rPr>
            <w:webHidden/>
          </w:rPr>
          <w:t>9</w:t>
        </w:r>
        <w:r>
          <w:rPr>
            <w:webHidden/>
          </w:rPr>
          <w:fldChar w:fldCharType="end"/>
        </w:r>
      </w:hyperlink>
    </w:p>
    <w:p w14:paraId="2219FDF2" w14:textId="3155C31E"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33" w:history="1">
        <w:r w:rsidRPr="000D1AEA">
          <w:rPr>
            <w:rStyle w:val="Hyperlink"/>
          </w:rPr>
          <w:t>3.4.2.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Cave and guide shielding structure (3 days)</w:t>
        </w:r>
        <w:r>
          <w:rPr>
            <w:webHidden/>
          </w:rPr>
          <w:tab/>
        </w:r>
        <w:r>
          <w:rPr>
            <w:webHidden/>
          </w:rPr>
          <w:fldChar w:fldCharType="begin"/>
        </w:r>
        <w:r>
          <w:rPr>
            <w:webHidden/>
          </w:rPr>
          <w:instrText xml:space="preserve"> PAGEREF _Toc199928633 \h </w:instrText>
        </w:r>
        <w:r>
          <w:rPr>
            <w:webHidden/>
          </w:rPr>
        </w:r>
        <w:r>
          <w:rPr>
            <w:webHidden/>
          </w:rPr>
          <w:fldChar w:fldCharType="separate"/>
        </w:r>
        <w:r>
          <w:rPr>
            <w:webHidden/>
          </w:rPr>
          <w:t>10</w:t>
        </w:r>
        <w:r>
          <w:rPr>
            <w:webHidden/>
          </w:rPr>
          <w:fldChar w:fldCharType="end"/>
        </w:r>
      </w:hyperlink>
    </w:p>
    <w:p w14:paraId="5A2FFA77" w14:textId="3E939602"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34" w:history="1">
        <w:r w:rsidRPr="000D1AEA">
          <w:rPr>
            <w:rStyle w:val="Hyperlink"/>
          </w:rPr>
          <w:t>3.5.</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TBL measurements</w:t>
        </w:r>
        <w:r>
          <w:rPr>
            <w:webHidden/>
          </w:rPr>
          <w:tab/>
        </w:r>
        <w:r>
          <w:rPr>
            <w:webHidden/>
          </w:rPr>
          <w:fldChar w:fldCharType="begin"/>
        </w:r>
        <w:r>
          <w:rPr>
            <w:webHidden/>
          </w:rPr>
          <w:instrText xml:space="preserve"> PAGEREF _Toc199928634 \h </w:instrText>
        </w:r>
        <w:r>
          <w:rPr>
            <w:webHidden/>
          </w:rPr>
        </w:r>
        <w:r>
          <w:rPr>
            <w:webHidden/>
          </w:rPr>
          <w:fldChar w:fldCharType="separate"/>
        </w:r>
        <w:r>
          <w:rPr>
            <w:webHidden/>
          </w:rPr>
          <w:t>10</w:t>
        </w:r>
        <w:r>
          <w:rPr>
            <w:webHidden/>
          </w:rPr>
          <w:fldChar w:fldCharType="end"/>
        </w:r>
      </w:hyperlink>
    </w:p>
    <w:p w14:paraId="7DA880FE" w14:textId="3FA4226A"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35" w:history="1">
        <w:r w:rsidRPr="000D1AEA">
          <w:rPr>
            <w:rStyle w:val="Hyperlink"/>
          </w:rPr>
          <w:t>3.6.</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Primary spectrometer</w:t>
        </w:r>
        <w:r>
          <w:rPr>
            <w:webHidden/>
          </w:rPr>
          <w:tab/>
        </w:r>
        <w:r>
          <w:rPr>
            <w:webHidden/>
          </w:rPr>
          <w:fldChar w:fldCharType="begin"/>
        </w:r>
        <w:r>
          <w:rPr>
            <w:webHidden/>
          </w:rPr>
          <w:instrText xml:space="preserve"> PAGEREF _Toc199928635 \h </w:instrText>
        </w:r>
        <w:r>
          <w:rPr>
            <w:webHidden/>
          </w:rPr>
        </w:r>
        <w:r>
          <w:rPr>
            <w:webHidden/>
          </w:rPr>
          <w:fldChar w:fldCharType="separate"/>
        </w:r>
        <w:r>
          <w:rPr>
            <w:webHidden/>
          </w:rPr>
          <w:t>11</w:t>
        </w:r>
        <w:r>
          <w:rPr>
            <w:webHidden/>
          </w:rPr>
          <w:fldChar w:fldCharType="end"/>
        </w:r>
      </w:hyperlink>
    </w:p>
    <w:p w14:paraId="44698157" w14:textId="7D42A637"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36" w:history="1">
        <w:r w:rsidRPr="000D1AEA">
          <w:rPr>
            <w:rStyle w:val="Hyperlink"/>
          </w:rPr>
          <w:t>3.6.1.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PSC fission monitor (M1) commissioning (1 beam days)</w:t>
        </w:r>
        <w:r>
          <w:rPr>
            <w:webHidden/>
          </w:rPr>
          <w:tab/>
        </w:r>
        <w:r>
          <w:rPr>
            <w:webHidden/>
          </w:rPr>
          <w:fldChar w:fldCharType="begin"/>
        </w:r>
        <w:r>
          <w:rPr>
            <w:webHidden/>
          </w:rPr>
          <w:instrText xml:space="preserve"> PAGEREF _Toc199928636 \h </w:instrText>
        </w:r>
        <w:r>
          <w:rPr>
            <w:webHidden/>
          </w:rPr>
        </w:r>
        <w:r>
          <w:rPr>
            <w:webHidden/>
          </w:rPr>
          <w:fldChar w:fldCharType="separate"/>
        </w:r>
        <w:r>
          <w:rPr>
            <w:webHidden/>
          </w:rPr>
          <w:t>11</w:t>
        </w:r>
        <w:r>
          <w:rPr>
            <w:webHidden/>
          </w:rPr>
          <w:fldChar w:fldCharType="end"/>
        </w:r>
      </w:hyperlink>
    </w:p>
    <w:p w14:paraId="1E93C431" w14:textId="2DE8F5CF"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37" w:history="1">
        <w:r w:rsidRPr="000D1AEA">
          <w:rPr>
            <w:rStyle w:val="Hyperlink"/>
          </w:rPr>
          <w:t>3.6.2.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Pulse-shaping chopper commissioning (2 beam days)</w:t>
        </w:r>
        <w:r>
          <w:rPr>
            <w:webHidden/>
          </w:rPr>
          <w:tab/>
        </w:r>
        <w:r>
          <w:rPr>
            <w:webHidden/>
          </w:rPr>
          <w:fldChar w:fldCharType="begin"/>
        </w:r>
        <w:r>
          <w:rPr>
            <w:webHidden/>
          </w:rPr>
          <w:instrText xml:space="preserve"> PAGEREF _Toc199928637 \h </w:instrText>
        </w:r>
        <w:r>
          <w:rPr>
            <w:webHidden/>
          </w:rPr>
        </w:r>
        <w:r>
          <w:rPr>
            <w:webHidden/>
          </w:rPr>
          <w:fldChar w:fldCharType="separate"/>
        </w:r>
        <w:r>
          <w:rPr>
            <w:webHidden/>
          </w:rPr>
          <w:t>12</w:t>
        </w:r>
        <w:r>
          <w:rPr>
            <w:webHidden/>
          </w:rPr>
          <w:fldChar w:fldCharType="end"/>
        </w:r>
      </w:hyperlink>
    </w:p>
    <w:p w14:paraId="25DA609F" w14:textId="038CF759"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38" w:history="1">
        <w:r w:rsidRPr="000D1AEA">
          <w:rPr>
            <w:rStyle w:val="Hyperlink"/>
          </w:rPr>
          <w:t>3.6.3.</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Frame overlap choppers – Ionization beam monitor 1 (M2) (1 days)</w:t>
        </w:r>
        <w:r>
          <w:rPr>
            <w:webHidden/>
          </w:rPr>
          <w:tab/>
        </w:r>
        <w:r>
          <w:rPr>
            <w:webHidden/>
          </w:rPr>
          <w:fldChar w:fldCharType="begin"/>
        </w:r>
        <w:r>
          <w:rPr>
            <w:webHidden/>
          </w:rPr>
          <w:instrText xml:space="preserve"> PAGEREF _Toc199928638 \h </w:instrText>
        </w:r>
        <w:r>
          <w:rPr>
            <w:webHidden/>
          </w:rPr>
        </w:r>
        <w:r>
          <w:rPr>
            <w:webHidden/>
          </w:rPr>
          <w:fldChar w:fldCharType="separate"/>
        </w:r>
        <w:r>
          <w:rPr>
            <w:webHidden/>
          </w:rPr>
          <w:t>13</w:t>
        </w:r>
        <w:r>
          <w:rPr>
            <w:webHidden/>
          </w:rPr>
          <w:fldChar w:fldCharType="end"/>
        </w:r>
      </w:hyperlink>
    </w:p>
    <w:p w14:paraId="45B97EEA" w14:textId="6EA8FC7B"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39" w:history="1">
        <w:r w:rsidRPr="000D1AEA">
          <w:rPr>
            <w:rStyle w:val="Hyperlink"/>
          </w:rPr>
          <w:t>3.6.4.</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Bandwidth chopper (BWC) – Ionization beam monitor 2 (M3) (2 days)</w:t>
        </w:r>
        <w:r>
          <w:rPr>
            <w:webHidden/>
          </w:rPr>
          <w:tab/>
        </w:r>
        <w:r>
          <w:rPr>
            <w:webHidden/>
          </w:rPr>
          <w:fldChar w:fldCharType="begin"/>
        </w:r>
        <w:r>
          <w:rPr>
            <w:webHidden/>
          </w:rPr>
          <w:instrText xml:space="preserve"> PAGEREF _Toc199928639 \h </w:instrText>
        </w:r>
        <w:r>
          <w:rPr>
            <w:webHidden/>
          </w:rPr>
        </w:r>
        <w:r>
          <w:rPr>
            <w:webHidden/>
          </w:rPr>
          <w:fldChar w:fldCharType="separate"/>
        </w:r>
        <w:r>
          <w:rPr>
            <w:webHidden/>
          </w:rPr>
          <w:t>14</w:t>
        </w:r>
        <w:r>
          <w:rPr>
            <w:webHidden/>
          </w:rPr>
          <w:fldChar w:fldCharType="end"/>
        </w:r>
      </w:hyperlink>
    </w:p>
    <w:p w14:paraId="7846B7F6" w14:textId="31EB5D19"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0" w:history="1">
        <w:r w:rsidRPr="000D1AEA">
          <w:rPr>
            <w:rStyle w:val="Hyperlink"/>
          </w:rPr>
          <w:t>3.6.5.</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Sample spectrum, GEM beam monitor (M4) (1 days) – High level requirements 3 and 5</w:t>
        </w:r>
        <w:r>
          <w:rPr>
            <w:webHidden/>
          </w:rPr>
          <w:tab/>
        </w:r>
        <w:r>
          <w:rPr>
            <w:webHidden/>
          </w:rPr>
          <w:fldChar w:fldCharType="begin"/>
        </w:r>
        <w:r>
          <w:rPr>
            <w:webHidden/>
          </w:rPr>
          <w:instrText xml:space="preserve"> PAGEREF _Toc199928640 \h </w:instrText>
        </w:r>
        <w:r>
          <w:rPr>
            <w:webHidden/>
          </w:rPr>
        </w:r>
        <w:r>
          <w:rPr>
            <w:webHidden/>
          </w:rPr>
          <w:fldChar w:fldCharType="separate"/>
        </w:r>
        <w:r>
          <w:rPr>
            <w:webHidden/>
          </w:rPr>
          <w:t>15</w:t>
        </w:r>
        <w:r>
          <w:rPr>
            <w:webHidden/>
          </w:rPr>
          <w:fldChar w:fldCharType="end"/>
        </w:r>
      </w:hyperlink>
    </w:p>
    <w:p w14:paraId="4C0C5A38" w14:textId="2E2067C1"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1" w:history="1">
        <w:r w:rsidRPr="000D1AEA">
          <w:rPr>
            <w:rStyle w:val="Hyperlink"/>
          </w:rPr>
          <w:t>3.6.6.</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Primary flight path calibration, GEM beam monitor (M4) (1 day)</w:t>
        </w:r>
        <w:r>
          <w:rPr>
            <w:webHidden/>
          </w:rPr>
          <w:tab/>
        </w:r>
        <w:r>
          <w:rPr>
            <w:webHidden/>
          </w:rPr>
          <w:fldChar w:fldCharType="begin"/>
        </w:r>
        <w:r>
          <w:rPr>
            <w:webHidden/>
          </w:rPr>
          <w:instrText xml:space="preserve"> PAGEREF _Toc199928641 \h </w:instrText>
        </w:r>
        <w:r>
          <w:rPr>
            <w:webHidden/>
          </w:rPr>
        </w:r>
        <w:r>
          <w:rPr>
            <w:webHidden/>
          </w:rPr>
          <w:fldChar w:fldCharType="separate"/>
        </w:r>
        <w:r>
          <w:rPr>
            <w:webHidden/>
          </w:rPr>
          <w:t>16</w:t>
        </w:r>
        <w:r>
          <w:rPr>
            <w:webHidden/>
          </w:rPr>
          <w:fldChar w:fldCharType="end"/>
        </w:r>
      </w:hyperlink>
    </w:p>
    <w:p w14:paraId="10EDE7F2" w14:textId="1DF10A5F"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2" w:history="1">
        <w:r w:rsidRPr="000D1AEA">
          <w:rPr>
            <w:rStyle w:val="Hyperlink"/>
          </w:rPr>
          <w:t>3.6.7.</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Nice-to-have: Guide characterization and acceptance diagram measurement, GEM beam monitor (M4) (10 days)</w:t>
        </w:r>
        <w:r>
          <w:rPr>
            <w:webHidden/>
          </w:rPr>
          <w:tab/>
        </w:r>
        <w:r>
          <w:rPr>
            <w:webHidden/>
          </w:rPr>
          <w:fldChar w:fldCharType="begin"/>
        </w:r>
        <w:r>
          <w:rPr>
            <w:webHidden/>
          </w:rPr>
          <w:instrText xml:space="preserve"> PAGEREF _Toc199928642 \h </w:instrText>
        </w:r>
        <w:r>
          <w:rPr>
            <w:webHidden/>
          </w:rPr>
        </w:r>
        <w:r>
          <w:rPr>
            <w:webHidden/>
          </w:rPr>
          <w:fldChar w:fldCharType="separate"/>
        </w:r>
        <w:r>
          <w:rPr>
            <w:webHidden/>
          </w:rPr>
          <w:t>17</w:t>
        </w:r>
        <w:r>
          <w:rPr>
            <w:webHidden/>
          </w:rPr>
          <w:fldChar w:fldCharType="end"/>
        </w:r>
      </w:hyperlink>
    </w:p>
    <w:p w14:paraId="11E7DAFA" w14:textId="348EFA18"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3" w:history="1">
        <w:r w:rsidRPr="000D1AEA">
          <w:rPr>
            <w:rStyle w:val="Hyperlink"/>
          </w:rPr>
          <w:t>3.6.8.</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Divergence jaw characterization, GEM beam (2 days)</w:t>
        </w:r>
        <w:r>
          <w:rPr>
            <w:webHidden/>
          </w:rPr>
          <w:tab/>
        </w:r>
        <w:r>
          <w:rPr>
            <w:webHidden/>
          </w:rPr>
          <w:fldChar w:fldCharType="begin"/>
        </w:r>
        <w:r>
          <w:rPr>
            <w:webHidden/>
          </w:rPr>
          <w:instrText xml:space="preserve"> PAGEREF _Toc199928643 \h </w:instrText>
        </w:r>
        <w:r>
          <w:rPr>
            <w:webHidden/>
          </w:rPr>
        </w:r>
        <w:r>
          <w:rPr>
            <w:webHidden/>
          </w:rPr>
          <w:fldChar w:fldCharType="separate"/>
        </w:r>
        <w:r>
          <w:rPr>
            <w:webHidden/>
          </w:rPr>
          <w:t>17</w:t>
        </w:r>
        <w:r>
          <w:rPr>
            <w:webHidden/>
          </w:rPr>
          <w:fldChar w:fldCharType="end"/>
        </w:r>
      </w:hyperlink>
    </w:p>
    <w:p w14:paraId="06C854CF" w14:textId="309695FE"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4" w:history="1">
        <w:r w:rsidRPr="000D1AEA">
          <w:rPr>
            <w:rStyle w:val="Hyperlink"/>
          </w:rPr>
          <w:t>3.6.9.</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Nice-to-have: Sample slit characterization, GEM beam monitor (M4) (6 days)</w:t>
        </w:r>
        <w:r>
          <w:rPr>
            <w:webHidden/>
          </w:rPr>
          <w:tab/>
        </w:r>
        <w:r>
          <w:rPr>
            <w:webHidden/>
          </w:rPr>
          <w:fldChar w:fldCharType="begin"/>
        </w:r>
        <w:r>
          <w:rPr>
            <w:webHidden/>
          </w:rPr>
          <w:instrText xml:space="preserve"> PAGEREF _Toc199928644 \h </w:instrText>
        </w:r>
        <w:r>
          <w:rPr>
            <w:webHidden/>
          </w:rPr>
        </w:r>
        <w:r>
          <w:rPr>
            <w:webHidden/>
          </w:rPr>
          <w:fldChar w:fldCharType="separate"/>
        </w:r>
        <w:r>
          <w:rPr>
            <w:webHidden/>
          </w:rPr>
          <w:t>18</w:t>
        </w:r>
        <w:r>
          <w:rPr>
            <w:webHidden/>
          </w:rPr>
          <w:fldChar w:fldCharType="end"/>
        </w:r>
      </w:hyperlink>
    </w:p>
    <w:p w14:paraId="4E6A2E37" w14:textId="21CE9B2B"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5" w:history="1">
        <w:r w:rsidRPr="000D1AEA">
          <w:rPr>
            <w:rStyle w:val="Hyperlink"/>
          </w:rPr>
          <w:t>3.6.10.</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 xml:space="preserve">Initial flux measurement – high pressure </w:t>
        </w:r>
        <w:r w:rsidRPr="000D1AEA">
          <w:rPr>
            <w:rStyle w:val="Hyperlink"/>
            <w:vertAlign w:val="superscript"/>
          </w:rPr>
          <w:t>3</w:t>
        </w:r>
        <w:r w:rsidRPr="000D1AEA">
          <w:rPr>
            <w:rStyle w:val="Hyperlink"/>
          </w:rPr>
          <w:t xml:space="preserve">He-tube (1 days) High level </w:t>
        </w:r>
        <w:r w:rsidR="0086777C">
          <w:rPr>
            <w:rStyle w:val="Hyperlink"/>
          </w:rPr>
          <w:br/>
        </w:r>
        <w:r w:rsidRPr="000D1AEA">
          <w:rPr>
            <w:rStyle w:val="Hyperlink"/>
          </w:rPr>
          <w:t>requirements 4 and 6</w:t>
        </w:r>
        <w:r>
          <w:rPr>
            <w:webHidden/>
          </w:rPr>
          <w:tab/>
        </w:r>
        <w:r>
          <w:rPr>
            <w:webHidden/>
          </w:rPr>
          <w:fldChar w:fldCharType="begin"/>
        </w:r>
        <w:r>
          <w:rPr>
            <w:webHidden/>
          </w:rPr>
          <w:instrText xml:space="preserve"> PAGEREF _Toc199928645 \h </w:instrText>
        </w:r>
        <w:r>
          <w:rPr>
            <w:webHidden/>
          </w:rPr>
        </w:r>
        <w:r>
          <w:rPr>
            <w:webHidden/>
          </w:rPr>
          <w:fldChar w:fldCharType="separate"/>
        </w:r>
        <w:r>
          <w:rPr>
            <w:webHidden/>
          </w:rPr>
          <w:t>18</w:t>
        </w:r>
        <w:r>
          <w:rPr>
            <w:webHidden/>
          </w:rPr>
          <w:fldChar w:fldCharType="end"/>
        </w:r>
      </w:hyperlink>
    </w:p>
    <w:p w14:paraId="5A7BC37A" w14:textId="7E538F03"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6" w:history="1">
        <w:r w:rsidRPr="000D1AEA">
          <w:rPr>
            <w:rStyle w:val="Hyperlink"/>
          </w:rPr>
          <w:t>3.6.11.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Beam monitor normalization (M4) (2 days)</w:t>
        </w:r>
        <w:r>
          <w:rPr>
            <w:webHidden/>
          </w:rPr>
          <w:tab/>
        </w:r>
        <w:r>
          <w:rPr>
            <w:webHidden/>
          </w:rPr>
          <w:fldChar w:fldCharType="begin"/>
        </w:r>
        <w:r>
          <w:rPr>
            <w:webHidden/>
          </w:rPr>
          <w:instrText xml:space="preserve"> PAGEREF _Toc199928646 \h </w:instrText>
        </w:r>
        <w:r>
          <w:rPr>
            <w:webHidden/>
          </w:rPr>
        </w:r>
        <w:r>
          <w:rPr>
            <w:webHidden/>
          </w:rPr>
          <w:fldChar w:fldCharType="separate"/>
        </w:r>
        <w:r>
          <w:rPr>
            <w:webHidden/>
          </w:rPr>
          <w:t>19</w:t>
        </w:r>
        <w:r>
          <w:rPr>
            <w:webHidden/>
          </w:rPr>
          <w:fldChar w:fldCharType="end"/>
        </w:r>
      </w:hyperlink>
    </w:p>
    <w:p w14:paraId="590714CF" w14:textId="05F8481E"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7" w:history="1">
        <w:r w:rsidRPr="000D1AEA">
          <w:rPr>
            <w:rStyle w:val="Hyperlink"/>
          </w:rPr>
          <w:t>3.6.12.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Attenuator tests, GEM beam monitor (M4) (1 day)</w:t>
        </w:r>
        <w:r>
          <w:rPr>
            <w:webHidden/>
          </w:rPr>
          <w:tab/>
        </w:r>
        <w:r>
          <w:rPr>
            <w:webHidden/>
          </w:rPr>
          <w:fldChar w:fldCharType="begin"/>
        </w:r>
        <w:r>
          <w:rPr>
            <w:webHidden/>
          </w:rPr>
          <w:instrText xml:space="preserve"> PAGEREF _Toc199928647 \h </w:instrText>
        </w:r>
        <w:r>
          <w:rPr>
            <w:webHidden/>
          </w:rPr>
        </w:r>
        <w:r>
          <w:rPr>
            <w:webHidden/>
          </w:rPr>
          <w:fldChar w:fldCharType="separate"/>
        </w:r>
        <w:r>
          <w:rPr>
            <w:webHidden/>
          </w:rPr>
          <w:t>20</w:t>
        </w:r>
        <w:r>
          <w:rPr>
            <w:webHidden/>
          </w:rPr>
          <w:fldChar w:fldCharType="end"/>
        </w:r>
      </w:hyperlink>
    </w:p>
    <w:p w14:paraId="7FB61BD7" w14:textId="24299C7B"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48" w:history="1">
        <w:r w:rsidRPr="000D1AEA">
          <w:rPr>
            <w:rStyle w:val="Hyperlink"/>
          </w:rPr>
          <w:t>3.6.13.</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Gold foil measurements (1 day) High level requirements 4 and 6</w:t>
        </w:r>
        <w:r>
          <w:rPr>
            <w:webHidden/>
          </w:rPr>
          <w:tab/>
        </w:r>
        <w:r>
          <w:rPr>
            <w:webHidden/>
          </w:rPr>
          <w:fldChar w:fldCharType="begin"/>
        </w:r>
        <w:r>
          <w:rPr>
            <w:webHidden/>
          </w:rPr>
          <w:instrText xml:space="preserve"> PAGEREF _Toc199928648 \h </w:instrText>
        </w:r>
        <w:r>
          <w:rPr>
            <w:webHidden/>
          </w:rPr>
        </w:r>
        <w:r>
          <w:rPr>
            <w:webHidden/>
          </w:rPr>
          <w:fldChar w:fldCharType="separate"/>
        </w:r>
        <w:r>
          <w:rPr>
            <w:webHidden/>
          </w:rPr>
          <w:t>20</w:t>
        </w:r>
        <w:r>
          <w:rPr>
            <w:webHidden/>
          </w:rPr>
          <w:fldChar w:fldCharType="end"/>
        </w:r>
      </w:hyperlink>
    </w:p>
    <w:p w14:paraId="085714B9" w14:textId="45569BB9"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49" w:history="1">
        <w:r w:rsidRPr="000D1AEA">
          <w:rPr>
            <w:rStyle w:val="Hyperlink"/>
          </w:rPr>
          <w:t>3.7.</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Secondary spectrometer</w:t>
        </w:r>
        <w:r>
          <w:rPr>
            <w:webHidden/>
          </w:rPr>
          <w:tab/>
        </w:r>
        <w:r>
          <w:rPr>
            <w:webHidden/>
          </w:rPr>
          <w:fldChar w:fldCharType="begin"/>
        </w:r>
        <w:r>
          <w:rPr>
            <w:webHidden/>
          </w:rPr>
          <w:instrText xml:space="preserve"> PAGEREF _Toc199928649 \h </w:instrText>
        </w:r>
        <w:r>
          <w:rPr>
            <w:webHidden/>
          </w:rPr>
        </w:r>
        <w:r>
          <w:rPr>
            <w:webHidden/>
          </w:rPr>
          <w:fldChar w:fldCharType="separate"/>
        </w:r>
        <w:r>
          <w:rPr>
            <w:webHidden/>
          </w:rPr>
          <w:t>20</w:t>
        </w:r>
        <w:r>
          <w:rPr>
            <w:webHidden/>
          </w:rPr>
          <w:fldChar w:fldCharType="end"/>
        </w:r>
      </w:hyperlink>
    </w:p>
    <w:p w14:paraId="0FC2BC60" w14:textId="328FB940"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0" w:history="1">
        <w:r w:rsidRPr="000D1AEA">
          <w:rPr>
            <w:rStyle w:val="Hyperlink"/>
          </w:rPr>
          <w:t>3.7.1.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Detector charge division limits calibration (2 days)</w:t>
        </w:r>
        <w:r>
          <w:rPr>
            <w:webHidden/>
          </w:rPr>
          <w:tab/>
        </w:r>
        <w:r>
          <w:rPr>
            <w:webHidden/>
          </w:rPr>
          <w:fldChar w:fldCharType="begin"/>
        </w:r>
        <w:r>
          <w:rPr>
            <w:webHidden/>
          </w:rPr>
          <w:instrText xml:space="preserve"> PAGEREF _Toc199928650 \h </w:instrText>
        </w:r>
        <w:r>
          <w:rPr>
            <w:webHidden/>
          </w:rPr>
        </w:r>
        <w:r>
          <w:rPr>
            <w:webHidden/>
          </w:rPr>
          <w:fldChar w:fldCharType="separate"/>
        </w:r>
        <w:r>
          <w:rPr>
            <w:webHidden/>
          </w:rPr>
          <w:t>21</w:t>
        </w:r>
        <w:r>
          <w:rPr>
            <w:webHidden/>
          </w:rPr>
          <w:fldChar w:fldCharType="end"/>
        </w:r>
      </w:hyperlink>
    </w:p>
    <w:p w14:paraId="3CC16712" w14:textId="53ACFBA4"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1" w:history="1">
        <w:r w:rsidRPr="000D1AEA">
          <w:rPr>
            <w:rStyle w:val="Hyperlink"/>
          </w:rPr>
          <w:t>3.7.2.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Beryllium filter/radial collimator (2 days)</w:t>
        </w:r>
        <w:r>
          <w:rPr>
            <w:webHidden/>
          </w:rPr>
          <w:tab/>
        </w:r>
        <w:r>
          <w:rPr>
            <w:webHidden/>
          </w:rPr>
          <w:fldChar w:fldCharType="begin"/>
        </w:r>
        <w:r>
          <w:rPr>
            <w:webHidden/>
          </w:rPr>
          <w:instrText xml:space="preserve"> PAGEREF _Toc199928651 \h </w:instrText>
        </w:r>
        <w:r>
          <w:rPr>
            <w:webHidden/>
          </w:rPr>
        </w:r>
        <w:r>
          <w:rPr>
            <w:webHidden/>
          </w:rPr>
          <w:fldChar w:fldCharType="separate"/>
        </w:r>
        <w:r>
          <w:rPr>
            <w:webHidden/>
          </w:rPr>
          <w:t>22</w:t>
        </w:r>
        <w:r>
          <w:rPr>
            <w:webHidden/>
          </w:rPr>
          <w:fldChar w:fldCharType="end"/>
        </w:r>
      </w:hyperlink>
    </w:p>
    <w:p w14:paraId="629C0038" w14:textId="053AAA47"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2" w:history="1">
        <w:r w:rsidRPr="000D1AEA">
          <w:rPr>
            <w:rStyle w:val="Hyperlink"/>
            <w:lang w:val="en-US"/>
          </w:rPr>
          <w:t>3.7.3.</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Calibrating</w:t>
        </w:r>
        <w:r w:rsidRPr="000D1AEA">
          <w:rPr>
            <w:rStyle w:val="Hyperlink"/>
            <w:lang w:val="en-US"/>
          </w:rPr>
          <w:t xml:space="preserve"> overall tank scattering angle (BM5) (3 days) High level </w:t>
        </w:r>
        <w:r w:rsidR="00631630">
          <w:rPr>
            <w:rStyle w:val="Hyperlink"/>
            <w:lang w:val="en-US"/>
          </w:rPr>
          <w:br/>
        </w:r>
        <w:r w:rsidRPr="000D1AEA">
          <w:rPr>
            <w:rStyle w:val="Hyperlink"/>
            <w:lang w:val="en-US"/>
          </w:rPr>
          <w:t xml:space="preserve">requirements </w:t>
        </w:r>
        <w:r w:rsidRPr="000D1AEA">
          <w:rPr>
            <w:rStyle w:val="Hyperlink"/>
          </w:rPr>
          <w:t>7, 8 and 9</w:t>
        </w:r>
        <w:r>
          <w:rPr>
            <w:webHidden/>
          </w:rPr>
          <w:tab/>
        </w:r>
        <w:r>
          <w:rPr>
            <w:webHidden/>
          </w:rPr>
          <w:fldChar w:fldCharType="begin"/>
        </w:r>
        <w:r>
          <w:rPr>
            <w:webHidden/>
          </w:rPr>
          <w:instrText xml:space="preserve"> PAGEREF _Toc199928652 \h </w:instrText>
        </w:r>
        <w:r>
          <w:rPr>
            <w:webHidden/>
          </w:rPr>
        </w:r>
        <w:r>
          <w:rPr>
            <w:webHidden/>
          </w:rPr>
          <w:fldChar w:fldCharType="separate"/>
        </w:r>
        <w:r>
          <w:rPr>
            <w:webHidden/>
          </w:rPr>
          <w:t>24</w:t>
        </w:r>
        <w:r>
          <w:rPr>
            <w:webHidden/>
          </w:rPr>
          <w:fldChar w:fldCharType="end"/>
        </w:r>
      </w:hyperlink>
    </w:p>
    <w:p w14:paraId="15C146A7" w14:textId="205E2F64"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3" w:history="1">
        <w:r w:rsidRPr="000D1AEA">
          <w:rPr>
            <w:rStyle w:val="Hyperlink"/>
          </w:rPr>
          <w:t>3.7.4.</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Ef calibration (2 days)</w:t>
        </w:r>
        <w:r>
          <w:rPr>
            <w:webHidden/>
          </w:rPr>
          <w:tab/>
        </w:r>
        <w:r>
          <w:rPr>
            <w:webHidden/>
          </w:rPr>
          <w:fldChar w:fldCharType="begin"/>
        </w:r>
        <w:r>
          <w:rPr>
            <w:webHidden/>
          </w:rPr>
          <w:instrText xml:space="preserve"> PAGEREF _Toc199928653 \h </w:instrText>
        </w:r>
        <w:r>
          <w:rPr>
            <w:webHidden/>
          </w:rPr>
        </w:r>
        <w:r>
          <w:rPr>
            <w:webHidden/>
          </w:rPr>
          <w:fldChar w:fldCharType="separate"/>
        </w:r>
        <w:r>
          <w:rPr>
            <w:webHidden/>
          </w:rPr>
          <w:t>26</w:t>
        </w:r>
        <w:r>
          <w:rPr>
            <w:webHidden/>
          </w:rPr>
          <w:fldChar w:fldCharType="end"/>
        </w:r>
      </w:hyperlink>
    </w:p>
    <w:p w14:paraId="32C03422" w14:textId="232F530A"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4" w:history="1">
        <w:r w:rsidRPr="000D1AEA">
          <w:rPr>
            <w:rStyle w:val="Hyperlink"/>
          </w:rPr>
          <w:t>3.7.5.</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Cross talk shielding High level requirement 12</w:t>
        </w:r>
        <w:r>
          <w:rPr>
            <w:webHidden/>
          </w:rPr>
          <w:tab/>
        </w:r>
        <w:r>
          <w:rPr>
            <w:webHidden/>
          </w:rPr>
          <w:fldChar w:fldCharType="begin"/>
        </w:r>
        <w:r>
          <w:rPr>
            <w:webHidden/>
          </w:rPr>
          <w:instrText xml:space="preserve"> PAGEREF _Toc199928654 \h </w:instrText>
        </w:r>
        <w:r>
          <w:rPr>
            <w:webHidden/>
          </w:rPr>
        </w:r>
        <w:r>
          <w:rPr>
            <w:webHidden/>
          </w:rPr>
          <w:fldChar w:fldCharType="separate"/>
        </w:r>
        <w:r>
          <w:rPr>
            <w:webHidden/>
          </w:rPr>
          <w:t>27</w:t>
        </w:r>
        <w:r>
          <w:rPr>
            <w:webHidden/>
          </w:rPr>
          <w:fldChar w:fldCharType="end"/>
        </w:r>
      </w:hyperlink>
    </w:p>
    <w:p w14:paraId="129CD06D" w14:textId="121A31DA"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5" w:history="1">
        <w:r w:rsidRPr="000D1AEA">
          <w:rPr>
            <w:rStyle w:val="Hyperlink"/>
          </w:rPr>
          <w:t>3.7.6.</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Secondary spectrometer normalization (2 days)</w:t>
        </w:r>
        <w:r>
          <w:rPr>
            <w:webHidden/>
          </w:rPr>
          <w:tab/>
        </w:r>
        <w:r>
          <w:rPr>
            <w:webHidden/>
          </w:rPr>
          <w:fldChar w:fldCharType="begin"/>
        </w:r>
        <w:r>
          <w:rPr>
            <w:webHidden/>
          </w:rPr>
          <w:instrText xml:space="preserve"> PAGEREF _Toc199928655 \h </w:instrText>
        </w:r>
        <w:r>
          <w:rPr>
            <w:webHidden/>
          </w:rPr>
        </w:r>
        <w:r>
          <w:rPr>
            <w:webHidden/>
          </w:rPr>
          <w:fldChar w:fldCharType="separate"/>
        </w:r>
        <w:r>
          <w:rPr>
            <w:webHidden/>
          </w:rPr>
          <w:t>27</w:t>
        </w:r>
        <w:r>
          <w:rPr>
            <w:webHidden/>
          </w:rPr>
          <w:fldChar w:fldCharType="end"/>
        </w:r>
      </w:hyperlink>
    </w:p>
    <w:p w14:paraId="24F4916F" w14:textId="59AA0ACB"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6" w:history="1">
        <w:r w:rsidRPr="000D1AEA">
          <w:rPr>
            <w:rStyle w:val="Hyperlink"/>
          </w:rPr>
          <w:t>3.7.7.</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Sample environment (1 days)</w:t>
        </w:r>
        <w:r>
          <w:rPr>
            <w:webHidden/>
          </w:rPr>
          <w:tab/>
        </w:r>
        <w:r>
          <w:rPr>
            <w:webHidden/>
          </w:rPr>
          <w:fldChar w:fldCharType="begin"/>
        </w:r>
        <w:r>
          <w:rPr>
            <w:webHidden/>
          </w:rPr>
          <w:instrText xml:space="preserve"> PAGEREF _Toc199928656 \h </w:instrText>
        </w:r>
        <w:r>
          <w:rPr>
            <w:webHidden/>
          </w:rPr>
        </w:r>
        <w:r>
          <w:rPr>
            <w:webHidden/>
          </w:rPr>
          <w:fldChar w:fldCharType="separate"/>
        </w:r>
        <w:r>
          <w:rPr>
            <w:webHidden/>
          </w:rPr>
          <w:t>27</w:t>
        </w:r>
        <w:r>
          <w:rPr>
            <w:webHidden/>
          </w:rPr>
          <w:fldChar w:fldCharType="end"/>
        </w:r>
      </w:hyperlink>
    </w:p>
    <w:p w14:paraId="557C0CC4" w14:textId="0166E20E"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57" w:history="1">
        <w:r w:rsidRPr="000D1AEA">
          <w:rPr>
            <w:rStyle w:val="Hyperlink"/>
            <w:lang w:val="en-US"/>
          </w:rPr>
          <w:t>3.8.</w:t>
        </w:r>
        <w:r>
          <w:rPr>
            <w:rFonts w:asciiTheme="minorHAnsi" w:eastAsiaTheme="minorEastAsia" w:hAnsiTheme="minorHAnsi" w:cstheme="minorBidi"/>
            <w:kern w:val="2"/>
            <w:sz w:val="24"/>
            <w:szCs w:val="24"/>
            <w:lang w:val="sv-SE" w:eastAsia="sv-SE"/>
            <w14:ligatures w14:val="standardContextual"/>
          </w:rPr>
          <w:tab/>
        </w:r>
        <w:r w:rsidRPr="000D1AEA">
          <w:rPr>
            <w:rStyle w:val="Hyperlink"/>
            <w:lang w:val="en-US"/>
          </w:rPr>
          <w:t xml:space="preserve">Benchmarking </w:t>
        </w:r>
        <w:r w:rsidRPr="000D1AEA">
          <w:rPr>
            <w:rStyle w:val="Hyperlink"/>
          </w:rPr>
          <w:t>experiments</w:t>
        </w:r>
        <w:r>
          <w:rPr>
            <w:webHidden/>
          </w:rPr>
          <w:tab/>
        </w:r>
        <w:r>
          <w:rPr>
            <w:webHidden/>
          </w:rPr>
          <w:fldChar w:fldCharType="begin"/>
        </w:r>
        <w:r>
          <w:rPr>
            <w:webHidden/>
          </w:rPr>
          <w:instrText xml:space="preserve"> PAGEREF _Toc199928657 \h </w:instrText>
        </w:r>
        <w:r>
          <w:rPr>
            <w:webHidden/>
          </w:rPr>
        </w:r>
        <w:r>
          <w:rPr>
            <w:webHidden/>
          </w:rPr>
          <w:fldChar w:fldCharType="separate"/>
        </w:r>
        <w:r>
          <w:rPr>
            <w:webHidden/>
          </w:rPr>
          <w:t>28</w:t>
        </w:r>
        <w:r>
          <w:rPr>
            <w:webHidden/>
          </w:rPr>
          <w:fldChar w:fldCharType="end"/>
        </w:r>
      </w:hyperlink>
    </w:p>
    <w:p w14:paraId="130292F2" w14:textId="734E15D1"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8" w:history="1">
        <w:r w:rsidRPr="000D1AEA">
          <w:rPr>
            <w:rStyle w:val="Hyperlink"/>
            <w:lang w:val="en-US"/>
          </w:rPr>
          <w:t>3.8.1.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Elastic</w:t>
        </w:r>
        <w:r w:rsidRPr="000D1AEA">
          <w:rPr>
            <w:rStyle w:val="Hyperlink"/>
            <w:lang w:val="en-US"/>
          </w:rPr>
          <w:t xml:space="preserve"> line (2 hours)</w:t>
        </w:r>
        <w:r>
          <w:rPr>
            <w:webHidden/>
          </w:rPr>
          <w:tab/>
        </w:r>
        <w:r>
          <w:rPr>
            <w:webHidden/>
          </w:rPr>
          <w:fldChar w:fldCharType="begin"/>
        </w:r>
        <w:r>
          <w:rPr>
            <w:webHidden/>
          </w:rPr>
          <w:instrText xml:space="preserve"> PAGEREF _Toc199928658 \h </w:instrText>
        </w:r>
        <w:r>
          <w:rPr>
            <w:webHidden/>
          </w:rPr>
        </w:r>
        <w:r>
          <w:rPr>
            <w:webHidden/>
          </w:rPr>
          <w:fldChar w:fldCharType="separate"/>
        </w:r>
        <w:r>
          <w:rPr>
            <w:webHidden/>
          </w:rPr>
          <w:t>28</w:t>
        </w:r>
        <w:r>
          <w:rPr>
            <w:webHidden/>
          </w:rPr>
          <w:fldChar w:fldCharType="end"/>
        </w:r>
      </w:hyperlink>
    </w:p>
    <w:p w14:paraId="64CC1C4A" w14:textId="38AEF78C"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59" w:history="1">
        <w:r w:rsidRPr="000D1AEA">
          <w:rPr>
            <w:rStyle w:val="Hyperlink"/>
            <w:lang w:val="en-US"/>
          </w:rPr>
          <w:t>3.8.2.</w:t>
        </w:r>
        <w:r>
          <w:rPr>
            <w:rFonts w:asciiTheme="minorHAnsi" w:eastAsiaTheme="minorEastAsia" w:hAnsiTheme="minorHAnsi" w:cstheme="minorBidi"/>
            <w:kern w:val="2"/>
            <w:sz w:val="24"/>
            <w:szCs w:val="24"/>
            <w:lang w:val="sv-SE" w:eastAsia="sv-SE"/>
            <w14:ligatures w14:val="standardContextual"/>
          </w:rPr>
          <w:tab/>
        </w:r>
        <w:r w:rsidRPr="000D1AEA">
          <w:rPr>
            <w:rStyle w:val="Hyperlink"/>
            <w:lang w:val="en-US"/>
          </w:rPr>
          <w:t>Flat modes – High level requirements 1 and 11</w:t>
        </w:r>
        <w:r>
          <w:rPr>
            <w:webHidden/>
          </w:rPr>
          <w:tab/>
        </w:r>
        <w:r>
          <w:rPr>
            <w:webHidden/>
          </w:rPr>
          <w:fldChar w:fldCharType="begin"/>
        </w:r>
        <w:r>
          <w:rPr>
            <w:webHidden/>
          </w:rPr>
          <w:instrText xml:space="preserve"> PAGEREF _Toc199928659 \h </w:instrText>
        </w:r>
        <w:r>
          <w:rPr>
            <w:webHidden/>
          </w:rPr>
        </w:r>
        <w:r>
          <w:rPr>
            <w:webHidden/>
          </w:rPr>
          <w:fldChar w:fldCharType="separate"/>
        </w:r>
        <w:r>
          <w:rPr>
            <w:webHidden/>
          </w:rPr>
          <w:t>28</w:t>
        </w:r>
        <w:r>
          <w:rPr>
            <w:webHidden/>
          </w:rPr>
          <w:fldChar w:fldCharType="end"/>
        </w:r>
      </w:hyperlink>
    </w:p>
    <w:p w14:paraId="05661C93" w14:textId="33E4FE30"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60" w:history="1">
        <w:r w:rsidRPr="000D1AEA">
          <w:rPr>
            <w:rStyle w:val="Hyperlink"/>
          </w:rPr>
          <w:t>3.8.3.</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Flat modes below 10 meV (5 hours)</w:t>
        </w:r>
        <w:r>
          <w:rPr>
            <w:webHidden/>
          </w:rPr>
          <w:tab/>
        </w:r>
        <w:r>
          <w:rPr>
            <w:webHidden/>
          </w:rPr>
          <w:fldChar w:fldCharType="begin"/>
        </w:r>
        <w:r>
          <w:rPr>
            <w:webHidden/>
          </w:rPr>
          <w:instrText xml:space="preserve"> PAGEREF _Toc199928660 \h </w:instrText>
        </w:r>
        <w:r>
          <w:rPr>
            <w:webHidden/>
          </w:rPr>
        </w:r>
        <w:r>
          <w:rPr>
            <w:webHidden/>
          </w:rPr>
          <w:fldChar w:fldCharType="separate"/>
        </w:r>
        <w:r>
          <w:rPr>
            <w:webHidden/>
          </w:rPr>
          <w:t>28</w:t>
        </w:r>
        <w:r>
          <w:rPr>
            <w:webHidden/>
          </w:rPr>
          <w:fldChar w:fldCharType="end"/>
        </w:r>
      </w:hyperlink>
    </w:p>
    <w:p w14:paraId="3962F723" w14:textId="5C90BF83"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61" w:history="1">
        <w:r w:rsidRPr="000D1AEA">
          <w:rPr>
            <w:rStyle w:val="Hyperlink"/>
          </w:rPr>
          <w:t>3.8.4.</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CEF modes below 60 meV (1 day)</w:t>
        </w:r>
        <w:r>
          <w:rPr>
            <w:webHidden/>
          </w:rPr>
          <w:tab/>
        </w:r>
        <w:r>
          <w:rPr>
            <w:webHidden/>
          </w:rPr>
          <w:fldChar w:fldCharType="begin"/>
        </w:r>
        <w:r>
          <w:rPr>
            <w:webHidden/>
          </w:rPr>
          <w:instrText xml:space="preserve"> PAGEREF _Toc199928661 \h </w:instrText>
        </w:r>
        <w:r>
          <w:rPr>
            <w:webHidden/>
          </w:rPr>
        </w:r>
        <w:r>
          <w:rPr>
            <w:webHidden/>
          </w:rPr>
          <w:fldChar w:fldCharType="separate"/>
        </w:r>
        <w:r>
          <w:rPr>
            <w:webHidden/>
          </w:rPr>
          <w:t>29</w:t>
        </w:r>
        <w:r>
          <w:rPr>
            <w:webHidden/>
          </w:rPr>
          <w:fldChar w:fldCharType="end"/>
        </w:r>
      </w:hyperlink>
    </w:p>
    <w:p w14:paraId="24AFDB59" w14:textId="21B39B9A"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62" w:history="1">
        <w:r w:rsidRPr="000D1AEA">
          <w:rPr>
            <w:rStyle w:val="Hyperlink"/>
            <w:lang w:val="en-US"/>
          </w:rPr>
          <w:t>3.8.5.</w:t>
        </w:r>
        <w:r>
          <w:rPr>
            <w:rFonts w:asciiTheme="minorHAnsi" w:eastAsiaTheme="minorEastAsia" w:hAnsiTheme="minorHAnsi" w:cstheme="minorBidi"/>
            <w:kern w:val="2"/>
            <w:sz w:val="24"/>
            <w:szCs w:val="24"/>
            <w:lang w:val="sv-SE" w:eastAsia="sv-SE"/>
            <w14:ligatures w14:val="standardContextual"/>
          </w:rPr>
          <w:tab/>
        </w:r>
        <w:r w:rsidRPr="000D1AEA">
          <w:rPr>
            <w:rStyle w:val="Hyperlink"/>
            <w:lang w:val="en-US"/>
          </w:rPr>
          <w:t xml:space="preserve">Flat </w:t>
        </w:r>
        <w:r w:rsidRPr="000D1AEA">
          <w:rPr>
            <w:rStyle w:val="Hyperlink"/>
          </w:rPr>
          <w:t>modes</w:t>
        </w:r>
        <w:r w:rsidRPr="000D1AEA">
          <w:rPr>
            <w:rStyle w:val="Hyperlink"/>
            <w:lang w:val="en-US"/>
          </w:rPr>
          <w:t xml:space="preserve"> at low energy: </w:t>
        </w:r>
        <w:r w:rsidRPr="000D1AEA">
          <w:rPr>
            <w:rStyle w:val="Hyperlink"/>
            <w:rFonts w:ascii="Calibri" w:hAnsi="Calibri" w:cs="Calibri"/>
            <w:lang w:val="da-DK"/>
          </w:rPr>
          <w:t>γ</w:t>
        </w:r>
        <w:r w:rsidRPr="000D1AEA">
          <w:rPr>
            <w:rStyle w:val="Hyperlink"/>
            <w:lang w:val="en-US"/>
          </w:rPr>
          <w:t>-picoline-N-oxide. High level requirement 2 (1 day)</w:t>
        </w:r>
        <w:r>
          <w:rPr>
            <w:webHidden/>
          </w:rPr>
          <w:tab/>
        </w:r>
        <w:r>
          <w:rPr>
            <w:webHidden/>
          </w:rPr>
          <w:fldChar w:fldCharType="begin"/>
        </w:r>
        <w:r>
          <w:rPr>
            <w:webHidden/>
          </w:rPr>
          <w:instrText xml:space="preserve"> PAGEREF _Toc199928662 \h </w:instrText>
        </w:r>
        <w:r>
          <w:rPr>
            <w:webHidden/>
          </w:rPr>
        </w:r>
        <w:r>
          <w:rPr>
            <w:webHidden/>
          </w:rPr>
          <w:fldChar w:fldCharType="separate"/>
        </w:r>
        <w:r>
          <w:rPr>
            <w:webHidden/>
          </w:rPr>
          <w:t>29</w:t>
        </w:r>
        <w:r>
          <w:rPr>
            <w:webHidden/>
          </w:rPr>
          <w:fldChar w:fldCharType="end"/>
        </w:r>
      </w:hyperlink>
    </w:p>
    <w:p w14:paraId="097EB2D0" w14:textId="46279471"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63" w:history="1">
        <w:r w:rsidRPr="000D1AEA">
          <w:rPr>
            <w:rStyle w:val="Hyperlink"/>
            <w:lang w:val="en-US"/>
          </w:rPr>
          <w:t>3.8.6.</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Dispersion</w:t>
        </w:r>
        <w:r w:rsidRPr="000D1AEA">
          <w:rPr>
            <w:rStyle w:val="Hyperlink"/>
            <w:lang w:val="en-US"/>
          </w:rPr>
          <w:t>: Well-known simple system (2 days)</w:t>
        </w:r>
        <w:r>
          <w:rPr>
            <w:webHidden/>
          </w:rPr>
          <w:tab/>
        </w:r>
        <w:r>
          <w:rPr>
            <w:webHidden/>
          </w:rPr>
          <w:fldChar w:fldCharType="begin"/>
        </w:r>
        <w:r>
          <w:rPr>
            <w:webHidden/>
          </w:rPr>
          <w:instrText xml:space="preserve"> PAGEREF _Toc199928663 \h </w:instrText>
        </w:r>
        <w:r>
          <w:rPr>
            <w:webHidden/>
          </w:rPr>
        </w:r>
        <w:r>
          <w:rPr>
            <w:webHidden/>
          </w:rPr>
          <w:fldChar w:fldCharType="separate"/>
        </w:r>
        <w:r>
          <w:rPr>
            <w:webHidden/>
          </w:rPr>
          <w:t>30</w:t>
        </w:r>
        <w:r>
          <w:rPr>
            <w:webHidden/>
          </w:rPr>
          <w:fldChar w:fldCharType="end"/>
        </w:r>
      </w:hyperlink>
    </w:p>
    <w:p w14:paraId="5C9E81FE" w14:textId="65D2EB27"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64" w:history="1">
        <w:r w:rsidRPr="000D1AEA">
          <w:rPr>
            <w:rStyle w:val="Hyperlink"/>
            <w:lang w:val="en-US"/>
          </w:rPr>
          <w:t>3.8.7.</w:t>
        </w:r>
        <w:r>
          <w:rPr>
            <w:rFonts w:asciiTheme="minorHAnsi" w:eastAsiaTheme="minorEastAsia" w:hAnsiTheme="minorHAnsi" w:cstheme="minorBidi"/>
            <w:kern w:val="2"/>
            <w:sz w:val="24"/>
            <w:szCs w:val="24"/>
            <w:lang w:val="sv-SE" w:eastAsia="sv-SE"/>
            <w14:ligatures w14:val="standardContextual"/>
          </w:rPr>
          <w:tab/>
        </w:r>
        <w:r w:rsidRPr="000D1AEA">
          <w:rPr>
            <w:rStyle w:val="Hyperlink"/>
            <w:lang w:val="en-US"/>
          </w:rPr>
          <w:t>Intensity and normalization check ( 3 days)</w:t>
        </w:r>
        <w:r>
          <w:rPr>
            <w:webHidden/>
          </w:rPr>
          <w:tab/>
        </w:r>
        <w:r>
          <w:rPr>
            <w:webHidden/>
          </w:rPr>
          <w:fldChar w:fldCharType="begin"/>
        </w:r>
        <w:r>
          <w:rPr>
            <w:webHidden/>
          </w:rPr>
          <w:instrText xml:space="preserve"> PAGEREF _Toc199928664 \h </w:instrText>
        </w:r>
        <w:r>
          <w:rPr>
            <w:webHidden/>
          </w:rPr>
        </w:r>
        <w:r>
          <w:rPr>
            <w:webHidden/>
          </w:rPr>
          <w:fldChar w:fldCharType="separate"/>
        </w:r>
        <w:r>
          <w:rPr>
            <w:webHidden/>
          </w:rPr>
          <w:t>31</w:t>
        </w:r>
        <w:r>
          <w:rPr>
            <w:webHidden/>
          </w:rPr>
          <w:fldChar w:fldCharType="end"/>
        </w:r>
      </w:hyperlink>
    </w:p>
    <w:p w14:paraId="47EDE276" w14:textId="1013A3B2" w:rsidR="007A51A9" w:rsidRDefault="007A51A9">
      <w:pPr>
        <w:pStyle w:val="TOC3"/>
        <w:rPr>
          <w:rFonts w:asciiTheme="minorHAnsi" w:eastAsiaTheme="minorEastAsia" w:hAnsiTheme="minorHAnsi" w:cstheme="minorBidi"/>
          <w:kern w:val="2"/>
          <w:sz w:val="24"/>
          <w:szCs w:val="24"/>
          <w:lang w:val="sv-SE" w:eastAsia="sv-SE"/>
          <w14:ligatures w14:val="standardContextual"/>
        </w:rPr>
      </w:pPr>
      <w:hyperlink w:anchor="_Toc199928665" w:history="1">
        <w:r w:rsidRPr="000D1AEA">
          <w:rPr>
            <w:rStyle w:val="Hyperlink"/>
            <w:lang w:val="en-US"/>
          </w:rPr>
          <w:t>3.8.8.</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Dispersion</w:t>
        </w:r>
        <w:r w:rsidRPr="000D1AEA">
          <w:rPr>
            <w:rStyle w:val="Hyperlink"/>
            <w:lang w:val="en-US"/>
          </w:rPr>
          <w:t>: Well-known complex system (3 days)</w:t>
        </w:r>
        <w:r>
          <w:rPr>
            <w:webHidden/>
          </w:rPr>
          <w:tab/>
        </w:r>
        <w:r>
          <w:rPr>
            <w:webHidden/>
          </w:rPr>
          <w:fldChar w:fldCharType="begin"/>
        </w:r>
        <w:r>
          <w:rPr>
            <w:webHidden/>
          </w:rPr>
          <w:instrText xml:space="preserve"> PAGEREF _Toc199928665 \h </w:instrText>
        </w:r>
        <w:r>
          <w:rPr>
            <w:webHidden/>
          </w:rPr>
        </w:r>
        <w:r>
          <w:rPr>
            <w:webHidden/>
          </w:rPr>
          <w:fldChar w:fldCharType="separate"/>
        </w:r>
        <w:r>
          <w:rPr>
            <w:webHidden/>
          </w:rPr>
          <w:t>32</w:t>
        </w:r>
        <w:r>
          <w:rPr>
            <w:webHidden/>
          </w:rPr>
          <w:fldChar w:fldCharType="end"/>
        </w:r>
      </w:hyperlink>
    </w:p>
    <w:p w14:paraId="0C15A602" w14:textId="09E8A244"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66" w:history="1">
        <w:r w:rsidRPr="000D1AEA">
          <w:rPr>
            <w:rStyle w:val="Hyperlink"/>
          </w:rPr>
          <w:t>3.9.</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Initial schedule of hot commissioning activities</w:t>
        </w:r>
        <w:r>
          <w:rPr>
            <w:webHidden/>
          </w:rPr>
          <w:tab/>
        </w:r>
        <w:r>
          <w:rPr>
            <w:webHidden/>
          </w:rPr>
          <w:fldChar w:fldCharType="begin"/>
        </w:r>
        <w:r>
          <w:rPr>
            <w:webHidden/>
          </w:rPr>
          <w:instrText xml:space="preserve"> PAGEREF _Toc199928666 \h </w:instrText>
        </w:r>
        <w:r>
          <w:rPr>
            <w:webHidden/>
          </w:rPr>
        </w:r>
        <w:r>
          <w:rPr>
            <w:webHidden/>
          </w:rPr>
          <w:fldChar w:fldCharType="separate"/>
        </w:r>
        <w:r>
          <w:rPr>
            <w:webHidden/>
          </w:rPr>
          <w:t>33</w:t>
        </w:r>
        <w:r>
          <w:rPr>
            <w:webHidden/>
          </w:rPr>
          <w:fldChar w:fldCharType="end"/>
        </w:r>
      </w:hyperlink>
    </w:p>
    <w:p w14:paraId="358E45BD" w14:textId="46DEAE92"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67" w:history="1">
        <w:r w:rsidRPr="000D1AEA">
          <w:rPr>
            <w:rStyle w:val="Hyperlink"/>
          </w:rPr>
          <w:t>3.10.</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Resources</w:t>
        </w:r>
        <w:r>
          <w:rPr>
            <w:webHidden/>
          </w:rPr>
          <w:tab/>
        </w:r>
        <w:r>
          <w:rPr>
            <w:webHidden/>
          </w:rPr>
          <w:fldChar w:fldCharType="begin"/>
        </w:r>
        <w:r>
          <w:rPr>
            <w:webHidden/>
          </w:rPr>
          <w:instrText xml:space="preserve"> PAGEREF _Toc199928667 \h </w:instrText>
        </w:r>
        <w:r>
          <w:rPr>
            <w:webHidden/>
          </w:rPr>
        </w:r>
        <w:r>
          <w:rPr>
            <w:webHidden/>
          </w:rPr>
          <w:fldChar w:fldCharType="separate"/>
        </w:r>
        <w:r>
          <w:rPr>
            <w:webHidden/>
          </w:rPr>
          <w:t>33</w:t>
        </w:r>
        <w:r>
          <w:rPr>
            <w:webHidden/>
          </w:rPr>
          <w:fldChar w:fldCharType="end"/>
        </w:r>
      </w:hyperlink>
    </w:p>
    <w:p w14:paraId="2E16212D" w14:textId="727CED62" w:rsidR="007A51A9" w:rsidRDefault="007A51A9">
      <w:pPr>
        <w:pStyle w:val="TOC1"/>
        <w:rPr>
          <w:rFonts w:asciiTheme="minorHAnsi" w:eastAsiaTheme="minorEastAsia" w:hAnsiTheme="minorHAnsi" w:cstheme="minorBidi"/>
          <w:caps w:val="0"/>
          <w:kern w:val="2"/>
          <w:sz w:val="24"/>
          <w:szCs w:val="24"/>
          <w:lang w:val="sv-SE" w:eastAsia="sv-SE"/>
          <w14:ligatures w14:val="standardContextual"/>
        </w:rPr>
      </w:pPr>
      <w:hyperlink w:anchor="_Toc199928668" w:history="1">
        <w:r w:rsidRPr="000D1AEA">
          <w:rPr>
            <w:rStyle w:val="Hyperlink"/>
          </w:rPr>
          <w:t>4.</w:t>
        </w:r>
        <w:r>
          <w:rPr>
            <w:rFonts w:asciiTheme="minorHAnsi" w:eastAsiaTheme="minorEastAsia" w:hAnsiTheme="minorHAnsi" w:cstheme="minorBidi"/>
            <w:caps w:val="0"/>
            <w:kern w:val="2"/>
            <w:sz w:val="24"/>
            <w:szCs w:val="24"/>
            <w:lang w:val="sv-SE" w:eastAsia="sv-SE"/>
            <w14:ligatures w14:val="standardContextual"/>
          </w:rPr>
          <w:tab/>
        </w:r>
        <w:r w:rsidRPr="000D1AEA">
          <w:rPr>
            <w:rStyle w:val="Hyperlink"/>
          </w:rPr>
          <w:t>Regular calibration procedure</w:t>
        </w:r>
        <w:r>
          <w:rPr>
            <w:webHidden/>
          </w:rPr>
          <w:tab/>
        </w:r>
        <w:r>
          <w:rPr>
            <w:webHidden/>
          </w:rPr>
          <w:fldChar w:fldCharType="begin"/>
        </w:r>
        <w:r>
          <w:rPr>
            <w:webHidden/>
          </w:rPr>
          <w:instrText xml:space="preserve"> PAGEREF _Toc199928668 \h </w:instrText>
        </w:r>
        <w:r>
          <w:rPr>
            <w:webHidden/>
          </w:rPr>
        </w:r>
        <w:r>
          <w:rPr>
            <w:webHidden/>
          </w:rPr>
          <w:fldChar w:fldCharType="separate"/>
        </w:r>
        <w:r>
          <w:rPr>
            <w:webHidden/>
          </w:rPr>
          <w:t>34</w:t>
        </w:r>
        <w:r>
          <w:rPr>
            <w:webHidden/>
          </w:rPr>
          <w:fldChar w:fldCharType="end"/>
        </w:r>
      </w:hyperlink>
    </w:p>
    <w:p w14:paraId="22039A0F" w14:textId="5CF6978C"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69" w:history="1">
        <w:r w:rsidRPr="000D1AEA">
          <w:rPr>
            <w:rStyle w:val="Hyperlink"/>
          </w:rPr>
          <w:t>4.1.</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In case of major problems with guide</w:t>
        </w:r>
        <w:r>
          <w:rPr>
            <w:webHidden/>
          </w:rPr>
          <w:tab/>
        </w:r>
        <w:r>
          <w:rPr>
            <w:webHidden/>
          </w:rPr>
          <w:fldChar w:fldCharType="begin"/>
        </w:r>
        <w:r>
          <w:rPr>
            <w:webHidden/>
          </w:rPr>
          <w:instrText xml:space="preserve"> PAGEREF _Toc199928669 \h </w:instrText>
        </w:r>
        <w:r>
          <w:rPr>
            <w:webHidden/>
          </w:rPr>
        </w:r>
        <w:r>
          <w:rPr>
            <w:webHidden/>
          </w:rPr>
          <w:fldChar w:fldCharType="separate"/>
        </w:r>
        <w:r>
          <w:rPr>
            <w:webHidden/>
          </w:rPr>
          <w:t>34</w:t>
        </w:r>
        <w:r>
          <w:rPr>
            <w:webHidden/>
          </w:rPr>
          <w:fldChar w:fldCharType="end"/>
        </w:r>
      </w:hyperlink>
    </w:p>
    <w:p w14:paraId="7F39FBB3" w14:textId="05C42214"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70" w:history="1">
        <w:r w:rsidRPr="000D1AEA">
          <w:rPr>
            <w:rStyle w:val="Hyperlink"/>
          </w:rPr>
          <w:t>4.2.</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Yearly</w:t>
        </w:r>
        <w:r>
          <w:rPr>
            <w:webHidden/>
          </w:rPr>
          <w:tab/>
        </w:r>
        <w:r>
          <w:rPr>
            <w:webHidden/>
          </w:rPr>
          <w:fldChar w:fldCharType="begin"/>
        </w:r>
        <w:r>
          <w:rPr>
            <w:webHidden/>
          </w:rPr>
          <w:instrText xml:space="preserve"> PAGEREF _Toc199928670 \h </w:instrText>
        </w:r>
        <w:r>
          <w:rPr>
            <w:webHidden/>
          </w:rPr>
        </w:r>
        <w:r>
          <w:rPr>
            <w:webHidden/>
          </w:rPr>
          <w:fldChar w:fldCharType="separate"/>
        </w:r>
        <w:r>
          <w:rPr>
            <w:webHidden/>
          </w:rPr>
          <w:t>34</w:t>
        </w:r>
        <w:r>
          <w:rPr>
            <w:webHidden/>
          </w:rPr>
          <w:fldChar w:fldCharType="end"/>
        </w:r>
      </w:hyperlink>
    </w:p>
    <w:p w14:paraId="6E7A0274" w14:textId="0134FF0D"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71" w:history="1">
        <w:r w:rsidRPr="000D1AEA">
          <w:rPr>
            <w:rStyle w:val="Hyperlink"/>
          </w:rPr>
          <w:t>4.3.</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Biannualy</w:t>
        </w:r>
        <w:r>
          <w:rPr>
            <w:webHidden/>
          </w:rPr>
          <w:tab/>
        </w:r>
        <w:r>
          <w:rPr>
            <w:webHidden/>
          </w:rPr>
          <w:fldChar w:fldCharType="begin"/>
        </w:r>
        <w:r>
          <w:rPr>
            <w:webHidden/>
          </w:rPr>
          <w:instrText xml:space="preserve"> PAGEREF _Toc199928671 \h </w:instrText>
        </w:r>
        <w:r>
          <w:rPr>
            <w:webHidden/>
          </w:rPr>
        </w:r>
        <w:r>
          <w:rPr>
            <w:webHidden/>
          </w:rPr>
          <w:fldChar w:fldCharType="separate"/>
        </w:r>
        <w:r>
          <w:rPr>
            <w:webHidden/>
          </w:rPr>
          <w:t>34</w:t>
        </w:r>
        <w:r>
          <w:rPr>
            <w:webHidden/>
          </w:rPr>
          <w:fldChar w:fldCharType="end"/>
        </w:r>
      </w:hyperlink>
    </w:p>
    <w:p w14:paraId="59BD02DE" w14:textId="1DBDE243" w:rsidR="007A51A9" w:rsidRDefault="007A51A9">
      <w:pPr>
        <w:pStyle w:val="TOC2"/>
        <w:rPr>
          <w:rFonts w:asciiTheme="minorHAnsi" w:eastAsiaTheme="minorEastAsia" w:hAnsiTheme="minorHAnsi" w:cstheme="minorBidi"/>
          <w:kern w:val="2"/>
          <w:sz w:val="24"/>
          <w:szCs w:val="24"/>
          <w:lang w:val="sv-SE" w:eastAsia="sv-SE"/>
          <w14:ligatures w14:val="standardContextual"/>
        </w:rPr>
      </w:pPr>
      <w:hyperlink w:anchor="_Toc199928672" w:history="1">
        <w:r w:rsidRPr="000D1AEA">
          <w:rPr>
            <w:rStyle w:val="Hyperlink"/>
          </w:rPr>
          <w:t>4.4.</w:t>
        </w:r>
        <w:r>
          <w:rPr>
            <w:rFonts w:asciiTheme="minorHAnsi" w:eastAsiaTheme="minorEastAsia" w:hAnsiTheme="minorHAnsi" w:cstheme="minorBidi"/>
            <w:kern w:val="2"/>
            <w:sz w:val="24"/>
            <w:szCs w:val="24"/>
            <w:lang w:val="sv-SE" w:eastAsia="sv-SE"/>
            <w14:ligatures w14:val="standardContextual"/>
          </w:rPr>
          <w:tab/>
        </w:r>
        <w:r w:rsidRPr="000D1AEA">
          <w:rPr>
            <w:rStyle w:val="Hyperlink"/>
          </w:rPr>
          <w:t>Every cycle</w:t>
        </w:r>
        <w:r>
          <w:rPr>
            <w:webHidden/>
          </w:rPr>
          <w:tab/>
        </w:r>
        <w:r>
          <w:rPr>
            <w:webHidden/>
          </w:rPr>
          <w:fldChar w:fldCharType="begin"/>
        </w:r>
        <w:r>
          <w:rPr>
            <w:webHidden/>
          </w:rPr>
          <w:instrText xml:space="preserve"> PAGEREF _Toc199928672 \h </w:instrText>
        </w:r>
        <w:r>
          <w:rPr>
            <w:webHidden/>
          </w:rPr>
        </w:r>
        <w:r>
          <w:rPr>
            <w:webHidden/>
          </w:rPr>
          <w:fldChar w:fldCharType="separate"/>
        </w:r>
        <w:r>
          <w:rPr>
            <w:webHidden/>
          </w:rPr>
          <w:t>34</w:t>
        </w:r>
        <w:r>
          <w:rPr>
            <w:webHidden/>
          </w:rPr>
          <w:fldChar w:fldCharType="end"/>
        </w:r>
      </w:hyperlink>
    </w:p>
    <w:p w14:paraId="4323D9B0" w14:textId="698792C8" w:rsidR="007A51A9" w:rsidRDefault="007A51A9">
      <w:pPr>
        <w:pStyle w:val="TOC1"/>
        <w:rPr>
          <w:rFonts w:asciiTheme="minorHAnsi" w:eastAsiaTheme="minorEastAsia" w:hAnsiTheme="minorHAnsi" w:cstheme="minorBidi"/>
          <w:caps w:val="0"/>
          <w:kern w:val="2"/>
          <w:sz w:val="24"/>
          <w:szCs w:val="24"/>
          <w:lang w:val="sv-SE" w:eastAsia="sv-SE"/>
          <w14:ligatures w14:val="standardContextual"/>
        </w:rPr>
      </w:pPr>
      <w:hyperlink w:anchor="_Toc199928673" w:history="1">
        <w:r w:rsidRPr="000D1AEA">
          <w:rPr>
            <w:rStyle w:val="Hyperlink"/>
          </w:rPr>
          <w:t>5.</w:t>
        </w:r>
        <w:r>
          <w:rPr>
            <w:rFonts w:asciiTheme="minorHAnsi" w:eastAsiaTheme="minorEastAsia" w:hAnsiTheme="minorHAnsi" w:cstheme="minorBidi"/>
            <w:caps w:val="0"/>
            <w:kern w:val="2"/>
            <w:sz w:val="24"/>
            <w:szCs w:val="24"/>
            <w:lang w:val="sv-SE" w:eastAsia="sv-SE"/>
            <w14:ligatures w14:val="standardContextual"/>
          </w:rPr>
          <w:tab/>
        </w:r>
        <w:r w:rsidRPr="000D1AEA">
          <w:rPr>
            <w:rStyle w:val="Hyperlink"/>
          </w:rPr>
          <w:t>references</w:t>
        </w:r>
        <w:r>
          <w:rPr>
            <w:webHidden/>
          </w:rPr>
          <w:tab/>
        </w:r>
        <w:r>
          <w:rPr>
            <w:webHidden/>
          </w:rPr>
          <w:fldChar w:fldCharType="begin"/>
        </w:r>
        <w:r>
          <w:rPr>
            <w:webHidden/>
          </w:rPr>
          <w:instrText xml:space="preserve"> PAGEREF _Toc199928673 \h </w:instrText>
        </w:r>
        <w:r>
          <w:rPr>
            <w:webHidden/>
          </w:rPr>
        </w:r>
        <w:r>
          <w:rPr>
            <w:webHidden/>
          </w:rPr>
          <w:fldChar w:fldCharType="separate"/>
        </w:r>
        <w:r>
          <w:rPr>
            <w:webHidden/>
          </w:rPr>
          <w:t>34</w:t>
        </w:r>
        <w:r>
          <w:rPr>
            <w:webHidden/>
          </w:rPr>
          <w:fldChar w:fldCharType="end"/>
        </w:r>
      </w:hyperlink>
    </w:p>
    <w:p w14:paraId="491DA90B" w14:textId="51630303" w:rsidR="00923A51" w:rsidRPr="00B54E4A" w:rsidRDefault="00197B0F" w:rsidP="00531785">
      <w:pPr>
        <w:pStyle w:val="ESSTOC"/>
        <w:rPr>
          <w:rFonts w:asciiTheme="minorHAnsi" w:hAnsiTheme="minorHAnsi" w:cstheme="minorHAnsi"/>
        </w:rPr>
      </w:pPr>
      <w:r w:rsidRPr="00B54E4A">
        <w:rPr>
          <w:rFonts w:asciiTheme="minorHAnsi" w:hAnsiTheme="minorHAnsi" w:cstheme="minorHAnsi"/>
        </w:rPr>
        <w:fldChar w:fldCharType="end"/>
      </w:r>
    </w:p>
    <w:p w14:paraId="4B948F21" w14:textId="77777777" w:rsidR="00B1328E" w:rsidRPr="001D043A" w:rsidRDefault="00B1328E" w:rsidP="00B1328E">
      <w:pPr>
        <w:pStyle w:val="Headingunnumbered"/>
      </w:pPr>
      <w:r w:rsidRPr="001D043A">
        <w:t>list of Figures</w:t>
      </w:r>
    </w:p>
    <w:p w14:paraId="1BC59364" w14:textId="0E237B85" w:rsidR="0078645E" w:rsidRPr="0078645E" w:rsidRDefault="00B1328E">
      <w:pPr>
        <w:pStyle w:val="TableofFigures"/>
        <w:rPr>
          <w:rFonts w:asciiTheme="minorHAnsi" w:eastAsiaTheme="minorEastAsia" w:hAnsiTheme="minorHAnsi"/>
          <w:noProof/>
          <w:kern w:val="2"/>
          <w:sz w:val="24"/>
          <w:szCs w:val="24"/>
          <w:lang w:eastAsia="sv-SE"/>
          <w14:ligatures w14:val="standardContextual"/>
        </w:rPr>
      </w:pPr>
      <w:r w:rsidRPr="005457E2">
        <w:fldChar w:fldCharType="begin"/>
      </w:r>
      <w:r w:rsidRPr="005457E2">
        <w:instrText xml:space="preserve"> TOC \c "Figure" </w:instrText>
      </w:r>
      <w:r w:rsidRPr="005457E2">
        <w:fldChar w:fldCharType="separate"/>
      </w:r>
      <w:r w:rsidR="0078645E">
        <w:rPr>
          <w:noProof/>
        </w:rPr>
        <w:t xml:space="preserve">Figure 1 - TBL measures the neutron spectrum directly, without using a neutron guide, </w:t>
      </w:r>
      <w:r w:rsidR="0086777C">
        <w:rPr>
          <w:noProof/>
        </w:rPr>
        <w:br/>
      </w:r>
      <w:r w:rsidR="0078645E">
        <w:rPr>
          <w:noProof/>
        </w:rPr>
        <w:t>at specific points in the field of view of BIFROST</w:t>
      </w:r>
      <w:r w:rsidR="0078645E">
        <w:rPr>
          <w:noProof/>
        </w:rPr>
        <w:tab/>
      </w:r>
      <w:r w:rsidR="0078645E">
        <w:rPr>
          <w:noProof/>
        </w:rPr>
        <w:fldChar w:fldCharType="begin"/>
      </w:r>
      <w:r w:rsidR="0078645E">
        <w:rPr>
          <w:noProof/>
        </w:rPr>
        <w:instrText xml:space="preserve"> PAGEREF _Toc199928245 \h </w:instrText>
      </w:r>
      <w:r w:rsidR="0078645E">
        <w:rPr>
          <w:noProof/>
        </w:rPr>
      </w:r>
      <w:r w:rsidR="0078645E">
        <w:rPr>
          <w:noProof/>
        </w:rPr>
        <w:fldChar w:fldCharType="separate"/>
      </w:r>
      <w:r w:rsidR="0078645E">
        <w:rPr>
          <w:noProof/>
        </w:rPr>
        <w:t>10</w:t>
      </w:r>
      <w:r w:rsidR="0078645E">
        <w:rPr>
          <w:noProof/>
        </w:rPr>
        <w:fldChar w:fldCharType="end"/>
      </w:r>
    </w:p>
    <w:p w14:paraId="05B425DE" w14:textId="18977205"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2 - Simple ToF diagram with the positions of the 4 monitors</w:t>
      </w:r>
      <w:r>
        <w:rPr>
          <w:noProof/>
        </w:rPr>
        <w:tab/>
      </w:r>
      <w:r>
        <w:rPr>
          <w:noProof/>
        </w:rPr>
        <w:fldChar w:fldCharType="begin"/>
      </w:r>
      <w:r>
        <w:rPr>
          <w:noProof/>
        </w:rPr>
        <w:instrText xml:space="preserve"> PAGEREF _Toc199928246 \h </w:instrText>
      </w:r>
      <w:r>
        <w:rPr>
          <w:noProof/>
        </w:rPr>
      </w:r>
      <w:r>
        <w:rPr>
          <w:noProof/>
        </w:rPr>
        <w:fldChar w:fldCharType="separate"/>
      </w:r>
      <w:r>
        <w:rPr>
          <w:noProof/>
        </w:rPr>
        <w:t>11</w:t>
      </w:r>
      <w:r>
        <w:rPr>
          <w:noProof/>
        </w:rPr>
        <w:fldChar w:fldCharType="end"/>
      </w:r>
    </w:p>
    <w:p w14:paraId="6B1D7483" w14:textId="748A50FB"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3 - Simulated PSC pulses at the M1 position</w:t>
      </w:r>
      <w:r>
        <w:rPr>
          <w:noProof/>
        </w:rPr>
        <w:tab/>
      </w:r>
      <w:r>
        <w:rPr>
          <w:noProof/>
        </w:rPr>
        <w:fldChar w:fldCharType="begin"/>
      </w:r>
      <w:r>
        <w:rPr>
          <w:noProof/>
        </w:rPr>
        <w:instrText xml:space="preserve"> PAGEREF _Toc199928247 \h </w:instrText>
      </w:r>
      <w:r>
        <w:rPr>
          <w:noProof/>
        </w:rPr>
      </w:r>
      <w:r>
        <w:rPr>
          <w:noProof/>
        </w:rPr>
        <w:fldChar w:fldCharType="separate"/>
      </w:r>
      <w:r>
        <w:rPr>
          <w:noProof/>
        </w:rPr>
        <w:t>12</w:t>
      </w:r>
      <w:r>
        <w:rPr>
          <w:noProof/>
        </w:rPr>
        <w:fldChar w:fldCharType="end"/>
      </w:r>
    </w:p>
    <w:p w14:paraId="640BAEA3" w14:textId="67A8DB74"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4 - Pseudo-continuous beam at BIFROST using a fully open PSC</w:t>
      </w:r>
      <w:r>
        <w:rPr>
          <w:noProof/>
        </w:rPr>
        <w:tab/>
      </w:r>
      <w:r>
        <w:rPr>
          <w:noProof/>
        </w:rPr>
        <w:fldChar w:fldCharType="begin"/>
      </w:r>
      <w:r>
        <w:rPr>
          <w:noProof/>
        </w:rPr>
        <w:instrText xml:space="preserve"> PAGEREF _Toc199928248 \h </w:instrText>
      </w:r>
      <w:r>
        <w:rPr>
          <w:noProof/>
        </w:rPr>
      </w:r>
      <w:r>
        <w:rPr>
          <w:noProof/>
        </w:rPr>
        <w:fldChar w:fldCharType="separate"/>
      </w:r>
      <w:r>
        <w:rPr>
          <w:noProof/>
        </w:rPr>
        <w:t>15</w:t>
      </w:r>
      <w:r>
        <w:rPr>
          <w:noProof/>
        </w:rPr>
        <w:fldChar w:fldCharType="end"/>
      </w:r>
    </w:p>
    <w:p w14:paraId="2F379688" w14:textId="5D431CAD"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 xml:space="preserve">Figure 5 - (Top left) Bragg edges of pure aluminum. (Top right) setup for primary </w:t>
      </w:r>
      <w:r w:rsidR="0086777C">
        <w:rPr>
          <w:noProof/>
        </w:rPr>
        <w:br/>
      </w:r>
      <w:r>
        <w:rPr>
          <w:noProof/>
        </w:rPr>
        <w:t xml:space="preserve">flight path calibration. (Bottom) Simulated Bragg edges in the monitor spectrum from </w:t>
      </w:r>
      <w:r w:rsidR="0086777C">
        <w:rPr>
          <w:noProof/>
        </w:rPr>
        <w:br/>
      </w:r>
      <w:r>
        <w:rPr>
          <w:noProof/>
        </w:rPr>
        <w:t>the aluminum windows in the guide</w:t>
      </w:r>
      <w:r>
        <w:rPr>
          <w:noProof/>
        </w:rPr>
        <w:tab/>
      </w:r>
      <w:r>
        <w:rPr>
          <w:noProof/>
        </w:rPr>
        <w:fldChar w:fldCharType="begin"/>
      </w:r>
      <w:r>
        <w:rPr>
          <w:noProof/>
        </w:rPr>
        <w:instrText xml:space="preserve"> PAGEREF _Toc199928249 \h </w:instrText>
      </w:r>
      <w:r>
        <w:rPr>
          <w:noProof/>
        </w:rPr>
      </w:r>
      <w:r>
        <w:rPr>
          <w:noProof/>
        </w:rPr>
        <w:fldChar w:fldCharType="separate"/>
      </w:r>
      <w:r>
        <w:rPr>
          <w:noProof/>
        </w:rPr>
        <w:t>16</w:t>
      </w:r>
      <w:r>
        <w:rPr>
          <w:noProof/>
        </w:rPr>
        <w:fldChar w:fldCharType="end"/>
      </w:r>
    </w:p>
    <w:p w14:paraId="0296A7CB" w14:textId="00C6FBDE"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6 - Proposed setup for measuring the acceptance diagram of the guide</w:t>
      </w:r>
      <w:r>
        <w:rPr>
          <w:noProof/>
        </w:rPr>
        <w:tab/>
      </w:r>
      <w:r>
        <w:rPr>
          <w:noProof/>
        </w:rPr>
        <w:fldChar w:fldCharType="begin"/>
      </w:r>
      <w:r>
        <w:rPr>
          <w:noProof/>
        </w:rPr>
        <w:instrText xml:space="preserve"> PAGEREF _Toc199928250 \h </w:instrText>
      </w:r>
      <w:r>
        <w:rPr>
          <w:noProof/>
        </w:rPr>
      </w:r>
      <w:r>
        <w:rPr>
          <w:noProof/>
        </w:rPr>
        <w:fldChar w:fldCharType="separate"/>
      </w:r>
      <w:r>
        <w:rPr>
          <w:noProof/>
        </w:rPr>
        <w:t>17</w:t>
      </w:r>
      <w:r>
        <w:rPr>
          <w:noProof/>
        </w:rPr>
        <w:fldChar w:fldCharType="end"/>
      </w:r>
    </w:p>
    <w:p w14:paraId="68AFB5B0" w14:textId="6F6DEF7E"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7 - Acceptance diagrams of three jaw settings</w:t>
      </w:r>
      <w:r>
        <w:rPr>
          <w:noProof/>
        </w:rPr>
        <w:tab/>
      </w:r>
      <w:r>
        <w:rPr>
          <w:noProof/>
        </w:rPr>
        <w:fldChar w:fldCharType="begin"/>
      </w:r>
      <w:r>
        <w:rPr>
          <w:noProof/>
        </w:rPr>
        <w:instrText xml:space="preserve"> PAGEREF _Toc199928251 \h </w:instrText>
      </w:r>
      <w:r>
        <w:rPr>
          <w:noProof/>
        </w:rPr>
      </w:r>
      <w:r>
        <w:rPr>
          <w:noProof/>
        </w:rPr>
        <w:fldChar w:fldCharType="separate"/>
      </w:r>
      <w:r>
        <w:rPr>
          <w:noProof/>
        </w:rPr>
        <w:t>18</w:t>
      </w:r>
      <w:r>
        <w:rPr>
          <w:noProof/>
        </w:rPr>
        <w:fldChar w:fldCharType="end"/>
      </w:r>
    </w:p>
    <w:p w14:paraId="37DA21D1" w14:textId="302951EE"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8 - Suggested flux calibration setup</w:t>
      </w:r>
      <w:r>
        <w:rPr>
          <w:noProof/>
        </w:rPr>
        <w:tab/>
      </w:r>
      <w:r>
        <w:rPr>
          <w:noProof/>
        </w:rPr>
        <w:fldChar w:fldCharType="begin"/>
      </w:r>
      <w:r>
        <w:rPr>
          <w:noProof/>
        </w:rPr>
        <w:instrText xml:space="preserve"> PAGEREF _Toc199928252 \h </w:instrText>
      </w:r>
      <w:r>
        <w:rPr>
          <w:noProof/>
        </w:rPr>
      </w:r>
      <w:r>
        <w:rPr>
          <w:noProof/>
        </w:rPr>
        <w:fldChar w:fldCharType="separate"/>
      </w:r>
      <w:r>
        <w:rPr>
          <w:noProof/>
        </w:rPr>
        <w:t>19</w:t>
      </w:r>
      <w:r>
        <w:rPr>
          <w:noProof/>
        </w:rPr>
        <w:fldChar w:fldCharType="end"/>
      </w:r>
    </w:p>
    <w:p w14:paraId="46502997" w14:textId="59E0441B"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9 - CAD model of the secondary spectrometer</w:t>
      </w:r>
      <w:r>
        <w:rPr>
          <w:noProof/>
        </w:rPr>
        <w:tab/>
      </w:r>
      <w:r>
        <w:rPr>
          <w:noProof/>
        </w:rPr>
        <w:fldChar w:fldCharType="begin"/>
      </w:r>
      <w:r>
        <w:rPr>
          <w:noProof/>
        </w:rPr>
        <w:instrText xml:space="preserve"> PAGEREF _Toc199928253 \h </w:instrText>
      </w:r>
      <w:r>
        <w:rPr>
          <w:noProof/>
        </w:rPr>
      </w:r>
      <w:r>
        <w:rPr>
          <w:noProof/>
        </w:rPr>
        <w:fldChar w:fldCharType="separate"/>
      </w:r>
      <w:r>
        <w:rPr>
          <w:noProof/>
        </w:rPr>
        <w:t>21</w:t>
      </w:r>
      <w:r>
        <w:rPr>
          <w:noProof/>
        </w:rPr>
        <w:fldChar w:fldCharType="end"/>
      </w:r>
    </w:p>
    <w:p w14:paraId="0C585775" w14:textId="66CF86A4"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 xml:space="preserve">Figure 10 - Example of charge division result when uniformly illuminating one triplet, </w:t>
      </w:r>
      <w:r w:rsidR="0086777C">
        <w:rPr>
          <w:noProof/>
        </w:rPr>
        <w:br/>
      </w:r>
      <w:r>
        <w:rPr>
          <w:noProof/>
        </w:rPr>
        <w:t xml:space="preserve">with the three tubes separated by "dead ratios" for charge division, which are created </w:t>
      </w:r>
      <w:r w:rsidR="0086777C">
        <w:rPr>
          <w:noProof/>
        </w:rPr>
        <w:br/>
      </w:r>
      <w:r>
        <w:rPr>
          <w:noProof/>
        </w:rPr>
        <w:t>by the resistors between tubes</w:t>
      </w:r>
      <w:r>
        <w:rPr>
          <w:noProof/>
        </w:rPr>
        <w:tab/>
      </w:r>
      <w:r>
        <w:rPr>
          <w:noProof/>
        </w:rPr>
        <w:fldChar w:fldCharType="begin"/>
      </w:r>
      <w:r>
        <w:rPr>
          <w:noProof/>
        </w:rPr>
        <w:instrText xml:space="preserve"> PAGEREF _Toc199928254 \h </w:instrText>
      </w:r>
      <w:r>
        <w:rPr>
          <w:noProof/>
        </w:rPr>
      </w:r>
      <w:r>
        <w:rPr>
          <w:noProof/>
        </w:rPr>
        <w:fldChar w:fldCharType="separate"/>
      </w:r>
      <w:r>
        <w:rPr>
          <w:noProof/>
        </w:rPr>
        <w:t>21</w:t>
      </w:r>
      <w:r>
        <w:rPr>
          <w:noProof/>
        </w:rPr>
        <w:fldChar w:fldCharType="end"/>
      </w:r>
    </w:p>
    <w:p w14:paraId="341FCF90" w14:textId="43AC332B"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lastRenderedPageBreak/>
        <w:t>Figure 11 - Example of limits on all 45 detector triplets (y-axis)</w:t>
      </w:r>
      <w:r>
        <w:rPr>
          <w:noProof/>
        </w:rPr>
        <w:tab/>
      </w:r>
      <w:r>
        <w:rPr>
          <w:noProof/>
        </w:rPr>
        <w:fldChar w:fldCharType="begin"/>
      </w:r>
      <w:r>
        <w:rPr>
          <w:noProof/>
        </w:rPr>
        <w:instrText xml:space="preserve"> PAGEREF _Toc199928255 \h </w:instrText>
      </w:r>
      <w:r>
        <w:rPr>
          <w:noProof/>
        </w:rPr>
      </w:r>
      <w:r>
        <w:rPr>
          <w:noProof/>
        </w:rPr>
        <w:fldChar w:fldCharType="separate"/>
      </w:r>
      <w:r>
        <w:rPr>
          <w:noProof/>
        </w:rPr>
        <w:t>22</w:t>
      </w:r>
      <w:r>
        <w:rPr>
          <w:noProof/>
        </w:rPr>
        <w:fldChar w:fldCharType="end"/>
      </w:r>
    </w:p>
    <w:p w14:paraId="436A99A9" w14:textId="7FFEA5FE"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12 - (left) design of single filter unit. (Right) Assembly of 9 filter units</w:t>
      </w:r>
      <w:r>
        <w:rPr>
          <w:noProof/>
        </w:rPr>
        <w:tab/>
      </w:r>
      <w:r>
        <w:rPr>
          <w:noProof/>
        </w:rPr>
        <w:fldChar w:fldCharType="begin"/>
      </w:r>
      <w:r>
        <w:rPr>
          <w:noProof/>
        </w:rPr>
        <w:instrText xml:space="preserve"> PAGEREF _Toc199928256 \h </w:instrText>
      </w:r>
      <w:r>
        <w:rPr>
          <w:noProof/>
        </w:rPr>
      </w:r>
      <w:r>
        <w:rPr>
          <w:noProof/>
        </w:rPr>
        <w:fldChar w:fldCharType="separate"/>
      </w:r>
      <w:r>
        <w:rPr>
          <w:noProof/>
        </w:rPr>
        <w:t>22</w:t>
      </w:r>
      <w:r>
        <w:rPr>
          <w:noProof/>
        </w:rPr>
        <w:fldChar w:fldCharType="end"/>
      </w:r>
    </w:p>
    <w:p w14:paraId="6B95B3C5" w14:textId="06D750B5"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13 - Bifrost sample coordinate system</w:t>
      </w:r>
      <w:r>
        <w:rPr>
          <w:noProof/>
        </w:rPr>
        <w:tab/>
      </w:r>
      <w:r>
        <w:rPr>
          <w:noProof/>
        </w:rPr>
        <w:fldChar w:fldCharType="begin"/>
      </w:r>
      <w:r>
        <w:rPr>
          <w:noProof/>
        </w:rPr>
        <w:instrText xml:space="preserve"> PAGEREF _Toc199928257 \h </w:instrText>
      </w:r>
      <w:r>
        <w:rPr>
          <w:noProof/>
        </w:rPr>
      </w:r>
      <w:r>
        <w:rPr>
          <w:noProof/>
        </w:rPr>
        <w:fldChar w:fldCharType="separate"/>
      </w:r>
      <w:r>
        <w:rPr>
          <w:noProof/>
        </w:rPr>
        <w:t>23</w:t>
      </w:r>
      <w:r>
        <w:rPr>
          <w:noProof/>
        </w:rPr>
        <w:fldChar w:fldCharType="end"/>
      </w:r>
    </w:p>
    <w:p w14:paraId="691E826D" w14:textId="229E738F"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w:t>
      </w:r>
      <w:r w:rsidR="00F23D1E">
        <w:rPr>
          <w:noProof/>
        </w:rPr>
        <w:t>4</w:t>
      </w:r>
      <w:r>
        <w:rPr>
          <w:noProof/>
        </w:rPr>
        <w:t xml:space="preserve"> - Scattering angle calibration methodology. The top view shows diagram of </w:t>
      </w:r>
      <w:r w:rsidR="0086777C">
        <w:rPr>
          <w:noProof/>
        </w:rPr>
        <w:br/>
      </w:r>
      <w:r>
        <w:rPr>
          <w:noProof/>
        </w:rPr>
        <w:t xml:space="preserve">powder diffraction peaks in a scattering versus wavelength plot. Backscattering geometry </w:t>
      </w:r>
      <w:r w:rsidR="0086777C">
        <w:rPr>
          <w:noProof/>
        </w:rPr>
        <w:br/>
      </w:r>
      <w:r>
        <w:rPr>
          <w:noProof/>
        </w:rPr>
        <w:t>gives more well-defined peaks and larger Q-range. Several angles can be chosen</w:t>
      </w:r>
      <w:r>
        <w:rPr>
          <w:noProof/>
        </w:rPr>
        <w:tab/>
      </w:r>
      <w:r>
        <w:rPr>
          <w:noProof/>
        </w:rPr>
        <w:fldChar w:fldCharType="begin"/>
      </w:r>
      <w:r>
        <w:rPr>
          <w:noProof/>
        </w:rPr>
        <w:instrText xml:space="preserve"> PAGEREF _Toc199928258 \h </w:instrText>
      </w:r>
      <w:r>
        <w:rPr>
          <w:noProof/>
        </w:rPr>
      </w:r>
      <w:r>
        <w:rPr>
          <w:noProof/>
        </w:rPr>
        <w:fldChar w:fldCharType="separate"/>
      </w:r>
      <w:r>
        <w:rPr>
          <w:noProof/>
        </w:rPr>
        <w:t>25</w:t>
      </w:r>
      <w:r>
        <w:rPr>
          <w:noProof/>
        </w:rPr>
        <w:fldChar w:fldCharType="end"/>
      </w:r>
    </w:p>
    <w:p w14:paraId="527E8529" w14:textId="072CB807"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 xml:space="preserve">Figure 15 - (left) Simulated intensity distribution on a detector triplet resulting from </w:t>
      </w:r>
      <w:r w:rsidR="00BD6E3D">
        <w:rPr>
          <w:noProof/>
        </w:rPr>
        <w:br/>
      </w:r>
      <w:r>
        <w:rPr>
          <w:noProof/>
        </w:rPr>
        <w:t xml:space="preserve">pencil-beam illumination of a single analyser. The mean value of the intensity on each </w:t>
      </w:r>
      <w:r w:rsidR="00BD6E3D">
        <w:rPr>
          <w:noProof/>
        </w:rPr>
        <w:br/>
      </w:r>
      <w:r>
        <w:rPr>
          <w:noProof/>
        </w:rPr>
        <w:t xml:space="preserve">tube should be at the same position. (Right) Simulated full illumination of a detector </w:t>
      </w:r>
      <w:r w:rsidR="00BD6E3D">
        <w:rPr>
          <w:noProof/>
        </w:rPr>
        <w:br/>
      </w:r>
      <w:r>
        <w:rPr>
          <w:noProof/>
        </w:rPr>
        <w:t>bank, including the angle dependence of the final energy – subject to calibration.</w:t>
      </w:r>
      <w:r>
        <w:rPr>
          <w:noProof/>
        </w:rPr>
        <w:tab/>
      </w:r>
      <w:r>
        <w:rPr>
          <w:noProof/>
        </w:rPr>
        <w:fldChar w:fldCharType="begin"/>
      </w:r>
      <w:r>
        <w:rPr>
          <w:noProof/>
        </w:rPr>
        <w:instrText xml:space="preserve"> PAGEREF _Toc199928259 \h </w:instrText>
      </w:r>
      <w:r>
        <w:rPr>
          <w:noProof/>
        </w:rPr>
      </w:r>
      <w:r>
        <w:rPr>
          <w:noProof/>
        </w:rPr>
        <w:fldChar w:fldCharType="separate"/>
      </w:r>
      <w:r>
        <w:rPr>
          <w:noProof/>
        </w:rPr>
        <w:t>26</w:t>
      </w:r>
      <w:r>
        <w:rPr>
          <w:noProof/>
        </w:rPr>
        <w:fldChar w:fldCharType="end"/>
      </w:r>
    </w:p>
    <w:p w14:paraId="5AC74F82" w14:textId="0D5092A4"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16 - Crystal field excitations of pure LiHoF4 below 10 meV</w:t>
      </w:r>
      <w:r>
        <w:rPr>
          <w:noProof/>
        </w:rPr>
        <w:tab/>
      </w:r>
      <w:r>
        <w:rPr>
          <w:noProof/>
        </w:rPr>
        <w:fldChar w:fldCharType="begin"/>
      </w:r>
      <w:r>
        <w:rPr>
          <w:noProof/>
        </w:rPr>
        <w:instrText xml:space="preserve"> PAGEREF _Toc199928260 \h </w:instrText>
      </w:r>
      <w:r>
        <w:rPr>
          <w:noProof/>
        </w:rPr>
      </w:r>
      <w:r>
        <w:rPr>
          <w:noProof/>
        </w:rPr>
        <w:fldChar w:fldCharType="separate"/>
      </w:r>
      <w:r>
        <w:rPr>
          <w:noProof/>
        </w:rPr>
        <w:t>29</w:t>
      </w:r>
      <w:r>
        <w:rPr>
          <w:noProof/>
        </w:rPr>
        <w:fldChar w:fldCharType="end"/>
      </w:r>
    </w:p>
    <w:p w14:paraId="2B42115C" w14:textId="071FFA05"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17 - Flat modes in C60</w:t>
      </w:r>
      <w:r>
        <w:rPr>
          <w:noProof/>
        </w:rPr>
        <w:tab/>
      </w:r>
      <w:r>
        <w:rPr>
          <w:noProof/>
        </w:rPr>
        <w:fldChar w:fldCharType="begin"/>
      </w:r>
      <w:r>
        <w:rPr>
          <w:noProof/>
        </w:rPr>
        <w:instrText xml:space="preserve"> PAGEREF _Toc199928261 \h </w:instrText>
      </w:r>
      <w:r>
        <w:rPr>
          <w:noProof/>
        </w:rPr>
      </w:r>
      <w:r>
        <w:rPr>
          <w:noProof/>
        </w:rPr>
        <w:fldChar w:fldCharType="separate"/>
      </w:r>
      <w:r>
        <w:rPr>
          <w:noProof/>
        </w:rPr>
        <w:t>29</w:t>
      </w:r>
      <w:r>
        <w:rPr>
          <w:noProof/>
        </w:rPr>
        <w:fldChar w:fldCharType="end"/>
      </w:r>
    </w:p>
    <w:p w14:paraId="20A0B5D0" w14:textId="718BE669"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18 - Figure from the IN16 BATS commissioning paper</w:t>
      </w:r>
      <w:r>
        <w:rPr>
          <w:noProof/>
        </w:rPr>
        <w:tab/>
      </w:r>
      <w:r>
        <w:rPr>
          <w:noProof/>
        </w:rPr>
        <w:fldChar w:fldCharType="begin"/>
      </w:r>
      <w:r>
        <w:rPr>
          <w:noProof/>
        </w:rPr>
        <w:instrText xml:space="preserve"> PAGEREF _Toc199928262 \h </w:instrText>
      </w:r>
      <w:r>
        <w:rPr>
          <w:noProof/>
        </w:rPr>
      </w:r>
      <w:r>
        <w:rPr>
          <w:noProof/>
        </w:rPr>
        <w:fldChar w:fldCharType="separate"/>
      </w:r>
      <w:r>
        <w:rPr>
          <w:noProof/>
        </w:rPr>
        <w:t>30</w:t>
      </w:r>
      <w:r>
        <w:rPr>
          <w:noProof/>
        </w:rPr>
        <w:fldChar w:fldCharType="end"/>
      </w:r>
    </w:p>
    <w:p w14:paraId="506BB9AA" w14:textId="599C9253"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19 - CAMEA measurements of the dispersion relation of MnF</w:t>
      </w:r>
      <w:r w:rsidRPr="00794956">
        <w:rPr>
          <w:noProof/>
          <w:vertAlign w:val="subscript"/>
        </w:rPr>
        <w:t>2</w:t>
      </w:r>
      <w:r>
        <w:rPr>
          <w:noProof/>
        </w:rPr>
        <w:t xml:space="preserve"> where mode </w:t>
      </w:r>
      <w:r w:rsidR="00BD6E3D">
        <w:rPr>
          <w:noProof/>
        </w:rPr>
        <w:br/>
      </w:r>
      <w:r>
        <w:rPr>
          <w:noProof/>
        </w:rPr>
        <w:t>splitting has been disproven down to the measurement limit</w:t>
      </w:r>
      <w:r>
        <w:rPr>
          <w:noProof/>
        </w:rPr>
        <w:tab/>
      </w:r>
      <w:r>
        <w:rPr>
          <w:noProof/>
        </w:rPr>
        <w:fldChar w:fldCharType="begin"/>
      </w:r>
      <w:r>
        <w:rPr>
          <w:noProof/>
        </w:rPr>
        <w:instrText xml:space="preserve"> PAGEREF _Toc199928263 \h </w:instrText>
      </w:r>
      <w:r>
        <w:rPr>
          <w:noProof/>
        </w:rPr>
      </w:r>
      <w:r>
        <w:rPr>
          <w:noProof/>
        </w:rPr>
        <w:fldChar w:fldCharType="separate"/>
      </w:r>
      <w:r>
        <w:rPr>
          <w:noProof/>
        </w:rPr>
        <w:t>30</w:t>
      </w:r>
      <w:r>
        <w:rPr>
          <w:noProof/>
        </w:rPr>
        <w:fldChar w:fldCharType="end"/>
      </w:r>
    </w:p>
    <w:p w14:paraId="4FBE8513" w14:textId="7689066B"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20 - Horace scans of RbMnF</w:t>
      </w:r>
      <w:r w:rsidRPr="00794956">
        <w:rPr>
          <w:noProof/>
          <w:vertAlign w:val="subscript"/>
        </w:rPr>
        <w:t>3</w:t>
      </w:r>
      <w:r>
        <w:rPr>
          <w:noProof/>
        </w:rPr>
        <w:t xml:space="preserve"> from MERLIN</w:t>
      </w:r>
      <w:r>
        <w:rPr>
          <w:noProof/>
        </w:rPr>
        <w:tab/>
      </w:r>
      <w:r>
        <w:rPr>
          <w:noProof/>
        </w:rPr>
        <w:fldChar w:fldCharType="begin"/>
      </w:r>
      <w:r>
        <w:rPr>
          <w:noProof/>
        </w:rPr>
        <w:instrText xml:space="preserve"> PAGEREF _Toc199928264 \h </w:instrText>
      </w:r>
      <w:r>
        <w:rPr>
          <w:noProof/>
        </w:rPr>
      </w:r>
      <w:r>
        <w:rPr>
          <w:noProof/>
        </w:rPr>
        <w:fldChar w:fldCharType="separate"/>
      </w:r>
      <w:r>
        <w:rPr>
          <w:noProof/>
        </w:rPr>
        <w:t>31</w:t>
      </w:r>
      <w:r>
        <w:rPr>
          <w:noProof/>
        </w:rPr>
        <w:fldChar w:fldCharType="end"/>
      </w:r>
    </w:p>
    <w:p w14:paraId="5B040D55" w14:textId="71D16104" w:rsidR="0078645E" w:rsidRPr="0078645E" w:rsidRDefault="0078645E">
      <w:pPr>
        <w:pStyle w:val="TableofFigures"/>
        <w:rPr>
          <w:rFonts w:asciiTheme="minorHAnsi" w:eastAsiaTheme="minorEastAsia" w:hAnsiTheme="minorHAnsi"/>
          <w:noProof/>
          <w:kern w:val="2"/>
          <w:sz w:val="24"/>
          <w:szCs w:val="24"/>
          <w:lang w:eastAsia="sv-SE"/>
          <w14:ligatures w14:val="standardContextual"/>
        </w:rPr>
      </w:pPr>
      <w:r>
        <w:rPr>
          <w:noProof/>
        </w:rPr>
        <w:t>Figure 21 - Magnon modes below 5 meV as measu</w:t>
      </w:r>
      <w:r w:rsidR="00540F8E">
        <w:rPr>
          <w:noProof/>
        </w:rPr>
        <w:t>r</w:t>
      </w:r>
      <w:r>
        <w:rPr>
          <w:noProof/>
        </w:rPr>
        <w:t>ed with high resolution on IN5</w:t>
      </w:r>
      <w:r>
        <w:rPr>
          <w:noProof/>
        </w:rPr>
        <w:tab/>
      </w:r>
      <w:r>
        <w:rPr>
          <w:noProof/>
        </w:rPr>
        <w:fldChar w:fldCharType="begin"/>
      </w:r>
      <w:r>
        <w:rPr>
          <w:noProof/>
        </w:rPr>
        <w:instrText xml:space="preserve"> PAGEREF _Toc199928265 \h </w:instrText>
      </w:r>
      <w:r>
        <w:rPr>
          <w:noProof/>
        </w:rPr>
      </w:r>
      <w:r>
        <w:rPr>
          <w:noProof/>
        </w:rPr>
        <w:fldChar w:fldCharType="separate"/>
      </w:r>
      <w:r>
        <w:rPr>
          <w:noProof/>
        </w:rPr>
        <w:t>32</w:t>
      </w:r>
      <w:r>
        <w:rPr>
          <w:noProof/>
        </w:rPr>
        <w:fldChar w:fldCharType="end"/>
      </w:r>
    </w:p>
    <w:p w14:paraId="11EAE00B" w14:textId="45805124" w:rsidR="00835F28" w:rsidRPr="00B54E4A" w:rsidRDefault="00B1328E" w:rsidP="00B1328E">
      <w:pPr>
        <w:pStyle w:val="Space-standard"/>
        <w:rPr>
          <w:rFonts w:asciiTheme="minorHAnsi" w:hAnsiTheme="minorHAnsi" w:cstheme="minorHAnsi"/>
        </w:rPr>
      </w:pPr>
      <w:r w:rsidRPr="005457E2">
        <w:fldChar w:fldCharType="end"/>
      </w:r>
    </w:p>
    <w:p w14:paraId="7AA1BFB0" w14:textId="77777777" w:rsidR="00835F28" w:rsidRPr="00B54E4A" w:rsidRDefault="00835F28">
      <w:pPr>
        <w:spacing w:after="0"/>
        <w:rPr>
          <w:rFonts w:asciiTheme="minorHAnsi" w:hAnsiTheme="minorHAnsi" w:cstheme="minorHAnsi"/>
        </w:rPr>
      </w:pPr>
      <w:r w:rsidRPr="00B54E4A">
        <w:rPr>
          <w:rFonts w:asciiTheme="minorHAnsi" w:hAnsiTheme="minorHAnsi" w:cstheme="minorHAnsi"/>
        </w:rPr>
        <w:br w:type="page"/>
      </w:r>
    </w:p>
    <w:p w14:paraId="15812925" w14:textId="77777777" w:rsidR="00AD6300" w:rsidRPr="00B54E4A" w:rsidRDefault="00AD6300" w:rsidP="00131E01">
      <w:pPr>
        <w:pStyle w:val="Heading1"/>
      </w:pPr>
      <w:bookmarkStart w:id="0" w:name="_Toc193364935"/>
      <w:bookmarkStart w:id="1" w:name="_Toc199928622"/>
      <w:r w:rsidRPr="00131E01">
        <w:lastRenderedPageBreak/>
        <w:t>Introduction</w:t>
      </w:r>
      <w:bookmarkEnd w:id="0"/>
      <w:bookmarkEnd w:id="1"/>
    </w:p>
    <w:p w14:paraId="17142E69" w14:textId="77777777" w:rsidR="00AD6300" w:rsidRPr="00B54E4A" w:rsidRDefault="00AD6300" w:rsidP="00131E01">
      <w:pPr>
        <w:pStyle w:val="Heading2"/>
      </w:pPr>
      <w:bookmarkStart w:id="2" w:name="_Toc193364936"/>
      <w:bookmarkStart w:id="3" w:name="_Toc199928623"/>
      <w:r w:rsidRPr="00B54E4A">
        <w:t xml:space="preserve">Purpose of this </w:t>
      </w:r>
      <w:r w:rsidRPr="00131E01">
        <w:t>document</w:t>
      </w:r>
      <w:bookmarkEnd w:id="2"/>
      <w:bookmarkEnd w:id="3"/>
    </w:p>
    <w:p w14:paraId="7C452DEF" w14:textId="5EA9720C" w:rsidR="00AD6300" w:rsidRPr="00B54E4A" w:rsidRDefault="00AD6300" w:rsidP="00131E01">
      <w:r w:rsidRPr="00B54E4A">
        <w:t xml:space="preserve">This document describes the plan for verification and validation of the FREIA system during cold and hot commissioning using the available neutron beam. The first part of this will document the strategy for verification activities, which will be used to verify and ensure that a product or system meets its requirements. The second part describes the testing of the instrument necessary to validate the realized product against the high-level requirements, derived from the scientific </w:t>
      </w:r>
      <w:r w:rsidRPr="008B2F32">
        <w:t xml:space="preserve">requirements documented in the Concepts of Operations Description for the </w:t>
      </w:r>
      <w:r w:rsidR="003B2B58" w:rsidRPr="008B2F32">
        <w:t xml:space="preserve">BIFROST </w:t>
      </w:r>
      <w:r w:rsidRPr="008B2F32">
        <w:t xml:space="preserve">Instrument (ConOps) </w:t>
      </w:r>
      <w:r w:rsidR="008B2F32" w:rsidRPr="008B2F32">
        <w:fldChar w:fldCharType="begin"/>
      </w:r>
      <w:r w:rsidR="008B2F32" w:rsidRPr="008B2F32">
        <w:instrText xml:space="preserve"> REF _Ref199934059 \w \h </w:instrText>
      </w:r>
      <w:r w:rsidR="008B2F32">
        <w:instrText xml:space="preserve"> \* MERGEFORMAT </w:instrText>
      </w:r>
      <w:r w:rsidR="008B2F32" w:rsidRPr="008B2F32">
        <w:fldChar w:fldCharType="separate"/>
      </w:r>
      <w:r w:rsidR="008B2F32" w:rsidRPr="008B2F32">
        <w:t>[2]</w:t>
      </w:r>
      <w:r w:rsidR="008B2F32" w:rsidRPr="008B2F32">
        <w:fldChar w:fldCharType="end"/>
      </w:r>
      <w:r w:rsidR="008B2F32" w:rsidRPr="008B2F32">
        <w:t>.</w:t>
      </w:r>
    </w:p>
    <w:p w14:paraId="05002815" w14:textId="41AD0A7D" w:rsidR="00AD6300" w:rsidRPr="00B54E4A" w:rsidRDefault="00AD6300" w:rsidP="00131E01">
      <w:r w:rsidRPr="00B54E4A">
        <w:t xml:space="preserve">The contents of this release, which the acceptance test plan will cover, are the main systems of the Instrument according to the </w:t>
      </w:r>
      <w:r w:rsidR="003B2B58" w:rsidRPr="00B54E4A">
        <w:t>Facility</w:t>
      </w:r>
      <w:r w:rsidRPr="00B54E4A">
        <w:t xml:space="preserve"> Breakdown Structure (</w:t>
      </w:r>
      <w:r w:rsidR="003B2B58" w:rsidRPr="00B54E4A">
        <w:t>F</w:t>
      </w:r>
      <w:r w:rsidRPr="00B54E4A">
        <w:t xml:space="preserve">BS) of </w:t>
      </w:r>
      <w:r w:rsidR="003B2B58" w:rsidRPr="00B54E4A">
        <w:t xml:space="preserve">BIFROST. </w:t>
      </w:r>
      <w:r w:rsidR="00552C2A">
        <w:t>The design of the BIFROST instrument is described in the high-level system design description [4], which contains references to subsystem design descriptions, which in turn contain references to detailed design information, like drawings and materials sheets</w:t>
      </w:r>
    </w:p>
    <w:p w14:paraId="720E63A6" w14:textId="77777777" w:rsidR="00AD6300" w:rsidRPr="00B54E4A" w:rsidRDefault="00AD6300" w:rsidP="00606A1F">
      <w:pPr>
        <w:pStyle w:val="Heading2"/>
      </w:pPr>
      <w:bookmarkStart w:id="4" w:name="_Toc193364937"/>
      <w:bookmarkStart w:id="5" w:name="_Toc199928624"/>
      <w:r w:rsidRPr="00606A1F">
        <w:t>Definitions</w:t>
      </w:r>
      <w:r w:rsidRPr="00B54E4A">
        <w:t>, acronyms and abbreviations</w:t>
      </w:r>
      <w:bookmarkEnd w:id="4"/>
      <w:bookmarkEnd w:id="5"/>
      <w:r w:rsidRPr="00B54E4A">
        <w:t xml:space="preserve"> </w:t>
      </w:r>
    </w:p>
    <w:tbl>
      <w:tblPr>
        <w:tblW w:w="5000" w:type="pct"/>
        <w:tblLook w:val="0000" w:firstRow="0" w:lastRow="0" w:firstColumn="0" w:lastColumn="0" w:noHBand="0" w:noVBand="0"/>
      </w:tblPr>
      <w:tblGrid>
        <w:gridCol w:w="1941"/>
        <w:gridCol w:w="7698"/>
      </w:tblGrid>
      <w:tr w:rsidR="00AD6300" w:rsidRPr="00B54E4A" w14:paraId="09B5E006" w14:textId="77777777" w:rsidTr="00714F0C">
        <w:trPr>
          <w:cantSplit/>
          <w:tblHeader/>
        </w:trPr>
        <w:tc>
          <w:tcPr>
            <w:tcW w:w="1007" w:type="pct"/>
            <w:tcBorders>
              <w:top w:val="single" w:sz="12" w:space="0" w:color="auto"/>
              <w:bottom w:val="single" w:sz="6" w:space="0" w:color="auto"/>
            </w:tcBorders>
            <w:shd w:val="clear" w:color="auto" w:fill="auto"/>
          </w:tcPr>
          <w:p w14:paraId="2D11D616" w14:textId="77777777" w:rsidR="00AD6300" w:rsidRPr="00B42ACA" w:rsidRDefault="00AD6300" w:rsidP="00714F0C">
            <w:pPr>
              <w:pStyle w:val="ESS-TableTitle"/>
              <w:rPr>
                <w:rFonts w:ascii="Segoe UI Historic" w:hAnsi="Segoe UI Historic" w:cs="Segoe UI Historic"/>
                <w:sz w:val="20"/>
                <w:szCs w:val="20"/>
              </w:rPr>
            </w:pPr>
            <w:r w:rsidRPr="00B42ACA">
              <w:rPr>
                <w:rFonts w:ascii="Segoe UI Historic" w:hAnsi="Segoe UI Historic" w:cs="Segoe UI Historic"/>
                <w:sz w:val="20"/>
                <w:szCs w:val="20"/>
              </w:rPr>
              <w:t>Term</w:t>
            </w:r>
          </w:p>
        </w:tc>
        <w:tc>
          <w:tcPr>
            <w:tcW w:w="3993" w:type="pct"/>
            <w:tcBorders>
              <w:top w:val="single" w:sz="12" w:space="0" w:color="auto"/>
              <w:bottom w:val="single" w:sz="6" w:space="0" w:color="auto"/>
            </w:tcBorders>
            <w:shd w:val="clear" w:color="auto" w:fill="auto"/>
          </w:tcPr>
          <w:p w14:paraId="204ECA5C" w14:textId="77777777" w:rsidR="00AD6300" w:rsidRPr="00B42ACA" w:rsidRDefault="00AD6300" w:rsidP="00714F0C">
            <w:pPr>
              <w:pStyle w:val="ESS-TableTitle"/>
              <w:rPr>
                <w:rFonts w:ascii="Segoe UI Historic" w:hAnsi="Segoe UI Historic" w:cs="Segoe UI Historic"/>
                <w:sz w:val="20"/>
                <w:szCs w:val="20"/>
              </w:rPr>
            </w:pPr>
            <w:r w:rsidRPr="00B42ACA">
              <w:rPr>
                <w:rFonts w:ascii="Segoe UI Historic" w:hAnsi="Segoe UI Historic" w:cs="Segoe UI Historic"/>
                <w:sz w:val="20"/>
                <w:szCs w:val="20"/>
              </w:rPr>
              <w:t>Definition</w:t>
            </w:r>
          </w:p>
        </w:tc>
      </w:tr>
      <w:tr w:rsidR="00AD6300" w:rsidRPr="00B54E4A" w14:paraId="0EC10368" w14:textId="77777777" w:rsidTr="00714F0C">
        <w:trPr>
          <w:cantSplit/>
        </w:trPr>
        <w:tc>
          <w:tcPr>
            <w:tcW w:w="1007" w:type="pct"/>
            <w:tcBorders>
              <w:top w:val="single" w:sz="6" w:space="0" w:color="auto"/>
            </w:tcBorders>
            <w:shd w:val="clear" w:color="auto" w:fill="auto"/>
          </w:tcPr>
          <w:p w14:paraId="21600D4A" w14:textId="77777777" w:rsidR="00AD6300" w:rsidRPr="00B42ACA" w:rsidRDefault="00AD6300" w:rsidP="00714F0C">
            <w:pPr>
              <w:pStyle w:val="ESS-TableText"/>
              <w:rPr>
                <w:rFonts w:cs="Segoe UI Historic"/>
                <w:sz w:val="20"/>
                <w:szCs w:val="20"/>
              </w:rPr>
            </w:pPr>
            <w:r w:rsidRPr="00B42ACA">
              <w:rPr>
                <w:rFonts w:cs="Segoe UI Historic"/>
                <w:sz w:val="20"/>
                <w:szCs w:val="20"/>
              </w:rPr>
              <w:t xml:space="preserve">ConOps </w:t>
            </w:r>
          </w:p>
          <w:p w14:paraId="7CEA91D1" w14:textId="77777777" w:rsidR="00AD6300" w:rsidRPr="00B42ACA" w:rsidRDefault="00AD6300" w:rsidP="00714F0C">
            <w:pPr>
              <w:pStyle w:val="ESS-TableText"/>
              <w:rPr>
                <w:rFonts w:cs="Segoe UI Historic"/>
                <w:sz w:val="20"/>
                <w:szCs w:val="20"/>
              </w:rPr>
            </w:pPr>
            <w:r w:rsidRPr="00B42ACA">
              <w:rPr>
                <w:rFonts w:cs="Segoe UI Historic"/>
                <w:sz w:val="20"/>
                <w:szCs w:val="20"/>
              </w:rPr>
              <w:t>SciReq</w:t>
            </w:r>
          </w:p>
        </w:tc>
        <w:tc>
          <w:tcPr>
            <w:tcW w:w="3993" w:type="pct"/>
            <w:tcBorders>
              <w:top w:val="single" w:sz="6" w:space="0" w:color="auto"/>
            </w:tcBorders>
            <w:shd w:val="clear" w:color="auto" w:fill="auto"/>
          </w:tcPr>
          <w:p w14:paraId="4DE8F922" w14:textId="77777777" w:rsidR="00AD6300" w:rsidRPr="00B42ACA" w:rsidRDefault="00AD6300" w:rsidP="00714F0C">
            <w:pPr>
              <w:pStyle w:val="ESS-TableText"/>
              <w:rPr>
                <w:rFonts w:cs="Segoe UI Historic"/>
                <w:sz w:val="20"/>
                <w:szCs w:val="20"/>
              </w:rPr>
            </w:pPr>
            <w:r w:rsidRPr="00B42ACA">
              <w:rPr>
                <w:rFonts w:cs="Segoe UI Historic"/>
                <w:sz w:val="20"/>
                <w:szCs w:val="20"/>
              </w:rPr>
              <w:t>Concept of Operations</w:t>
            </w:r>
          </w:p>
          <w:p w14:paraId="7DAA7114" w14:textId="77777777" w:rsidR="00AD6300" w:rsidRPr="00B42ACA" w:rsidRDefault="00AD6300" w:rsidP="00714F0C">
            <w:pPr>
              <w:pStyle w:val="ESS-TableText"/>
              <w:rPr>
                <w:rFonts w:cs="Segoe UI Historic"/>
                <w:sz w:val="20"/>
                <w:szCs w:val="20"/>
              </w:rPr>
            </w:pPr>
            <w:r w:rsidRPr="00B42ACA">
              <w:rPr>
                <w:rFonts w:cs="Segoe UI Historic"/>
                <w:sz w:val="20"/>
                <w:szCs w:val="20"/>
              </w:rPr>
              <w:t>Scientific Requirements</w:t>
            </w:r>
          </w:p>
        </w:tc>
      </w:tr>
      <w:tr w:rsidR="00AD6300" w:rsidRPr="00B54E4A" w14:paraId="22047E62" w14:textId="77777777" w:rsidTr="00714F0C">
        <w:trPr>
          <w:cantSplit/>
        </w:trPr>
        <w:tc>
          <w:tcPr>
            <w:tcW w:w="1007" w:type="pct"/>
            <w:tcBorders>
              <w:bottom w:val="single" w:sz="12" w:space="0" w:color="auto"/>
            </w:tcBorders>
            <w:shd w:val="clear" w:color="auto" w:fill="auto"/>
          </w:tcPr>
          <w:p w14:paraId="26132531" w14:textId="288DB8CC" w:rsidR="00AD6300" w:rsidRPr="00B42ACA" w:rsidRDefault="00AD6300" w:rsidP="00714F0C">
            <w:pPr>
              <w:pStyle w:val="ESS-TableText"/>
              <w:rPr>
                <w:rFonts w:cs="Segoe UI Historic"/>
                <w:sz w:val="20"/>
                <w:szCs w:val="20"/>
              </w:rPr>
            </w:pPr>
            <w:r w:rsidRPr="00B42ACA">
              <w:rPr>
                <w:rFonts w:cs="Segoe UI Historic"/>
                <w:sz w:val="20"/>
                <w:szCs w:val="20"/>
              </w:rPr>
              <w:t>PBS</w:t>
            </w:r>
          </w:p>
          <w:p w14:paraId="47869980" w14:textId="77777777" w:rsidR="00AD6300" w:rsidRPr="00B42ACA" w:rsidRDefault="00AD6300" w:rsidP="00714F0C">
            <w:pPr>
              <w:pStyle w:val="ESS-TableText"/>
              <w:rPr>
                <w:rFonts w:cs="Segoe UI Historic"/>
                <w:sz w:val="20"/>
                <w:szCs w:val="20"/>
                <w:lang w:val="da-DK"/>
              </w:rPr>
            </w:pPr>
            <w:r w:rsidRPr="00B42ACA">
              <w:rPr>
                <w:rFonts w:cs="Segoe UI Historic"/>
                <w:sz w:val="20"/>
                <w:szCs w:val="20"/>
                <w:lang w:val="da-DK"/>
              </w:rPr>
              <w:t>FAT</w:t>
            </w:r>
          </w:p>
          <w:p w14:paraId="11BB8F08" w14:textId="77777777" w:rsidR="00AD6300" w:rsidRPr="00B42ACA" w:rsidRDefault="00AD6300" w:rsidP="00714F0C">
            <w:pPr>
              <w:pStyle w:val="ESS-TableText"/>
              <w:rPr>
                <w:rFonts w:cs="Segoe UI Historic"/>
                <w:sz w:val="20"/>
                <w:szCs w:val="20"/>
                <w:lang w:val="da-DK"/>
              </w:rPr>
            </w:pPr>
            <w:r w:rsidRPr="00B42ACA">
              <w:rPr>
                <w:rFonts w:cs="Segoe UI Historic"/>
                <w:sz w:val="20"/>
                <w:szCs w:val="20"/>
                <w:lang w:val="da-DK"/>
              </w:rPr>
              <w:t>SAT</w:t>
            </w:r>
          </w:p>
          <w:p w14:paraId="636ADCFA" w14:textId="77777777" w:rsidR="00AD6300" w:rsidRPr="00B42ACA" w:rsidRDefault="00AD6300" w:rsidP="00714F0C">
            <w:pPr>
              <w:pStyle w:val="ESS-TableText"/>
              <w:rPr>
                <w:rFonts w:cs="Segoe UI Historic"/>
                <w:sz w:val="20"/>
                <w:szCs w:val="20"/>
                <w:lang w:val="da-DK"/>
              </w:rPr>
            </w:pPr>
            <w:r w:rsidRPr="00B42ACA">
              <w:rPr>
                <w:rFonts w:cs="Segoe UI Historic"/>
                <w:sz w:val="20"/>
                <w:szCs w:val="20"/>
                <w:lang w:val="da-DK"/>
              </w:rPr>
              <w:t>RP</w:t>
            </w:r>
          </w:p>
          <w:p w14:paraId="15AC5012" w14:textId="77777777" w:rsidR="00AD6300" w:rsidRPr="00B42ACA" w:rsidRDefault="00AD6300" w:rsidP="00714F0C">
            <w:pPr>
              <w:pStyle w:val="ESS-TableText"/>
              <w:rPr>
                <w:rFonts w:cs="Segoe UI Historic"/>
                <w:sz w:val="20"/>
                <w:szCs w:val="20"/>
                <w:lang w:val="da-DK"/>
              </w:rPr>
            </w:pPr>
            <w:r w:rsidRPr="00B42ACA">
              <w:rPr>
                <w:rFonts w:cs="Segoe UI Historic"/>
                <w:sz w:val="20"/>
                <w:szCs w:val="20"/>
                <w:lang w:val="da-DK"/>
              </w:rPr>
              <w:t>PSS</w:t>
            </w:r>
          </w:p>
          <w:p w14:paraId="0E886F93" w14:textId="61ADB1D0" w:rsidR="00AD6300" w:rsidRPr="00B42ACA" w:rsidRDefault="00AD6300" w:rsidP="00714F0C">
            <w:pPr>
              <w:pStyle w:val="ESS-TableText"/>
              <w:rPr>
                <w:rFonts w:cs="Segoe UI Historic"/>
                <w:sz w:val="20"/>
                <w:szCs w:val="20"/>
                <w:lang w:val="da-DK"/>
              </w:rPr>
            </w:pPr>
            <w:r w:rsidRPr="00B42ACA">
              <w:rPr>
                <w:rFonts w:cs="Segoe UI Historic"/>
                <w:sz w:val="20"/>
                <w:szCs w:val="20"/>
                <w:lang w:val="da-DK"/>
              </w:rPr>
              <w:t>PSC</w:t>
            </w:r>
          </w:p>
          <w:p w14:paraId="232D1440" w14:textId="74DCBC90" w:rsidR="00AD6300" w:rsidRPr="00B42ACA" w:rsidRDefault="00AD6300" w:rsidP="00714F0C">
            <w:pPr>
              <w:pStyle w:val="ESS-TableText"/>
              <w:rPr>
                <w:rFonts w:cs="Segoe UI Historic"/>
                <w:sz w:val="20"/>
                <w:szCs w:val="20"/>
                <w:lang w:val="da-DK"/>
              </w:rPr>
            </w:pPr>
            <w:r w:rsidRPr="00B42ACA">
              <w:rPr>
                <w:rFonts w:cs="Segoe UI Historic"/>
                <w:sz w:val="20"/>
                <w:szCs w:val="20"/>
                <w:lang w:val="da-DK"/>
              </w:rPr>
              <w:t>BWC</w:t>
            </w:r>
          </w:p>
          <w:p w14:paraId="136E976C" w14:textId="77777777" w:rsidR="00AD6300" w:rsidRPr="00B42ACA" w:rsidRDefault="00AD6300" w:rsidP="00714F0C">
            <w:pPr>
              <w:pStyle w:val="ESS-TableText"/>
              <w:rPr>
                <w:rFonts w:cs="Segoe UI Historic"/>
                <w:sz w:val="20"/>
                <w:szCs w:val="20"/>
              </w:rPr>
            </w:pPr>
            <w:r w:rsidRPr="00B42ACA">
              <w:rPr>
                <w:rFonts w:cs="Segoe UI Historic"/>
                <w:sz w:val="20"/>
                <w:szCs w:val="20"/>
              </w:rPr>
              <w:t>FOC</w:t>
            </w:r>
          </w:p>
          <w:p w14:paraId="04B1F541" w14:textId="77777777" w:rsidR="00AD6300" w:rsidRPr="00B42ACA" w:rsidRDefault="00AD6300" w:rsidP="00714F0C">
            <w:pPr>
              <w:pStyle w:val="ESS-TableText"/>
              <w:rPr>
                <w:rFonts w:cs="Segoe UI Historic"/>
                <w:sz w:val="20"/>
                <w:szCs w:val="20"/>
              </w:rPr>
            </w:pPr>
            <w:r w:rsidRPr="00B42ACA">
              <w:rPr>
                <w:rFonts w:cs="Segoe UI Historic"/>
                <w:sz w:val="20"/>
                <w:szCs w:val="20"/>
              </w:rPr>
              <w:t>CF</w:t>
            </w:r>
          </w:p>
          <w:p w14:paraId="14B3B83E" w14:textId="22A29747" w:rsidR="00AD6300" w:rsidRPr="00B42ACA" w:rsidRDefault="00AD6300" w:rsidP="00714F0C">
            <w:pPr>
              <w:pStyle w:val="ESS-TableText"/>
              <w:rPr>
                <w:rFonts w:cs="Segoe UI Historic"/>
                <w:sz w:val="20"/>
                <w:szCs w:val="20"/>
              </w:rPr>
            </w:pPr>
            <w:r w:rsidRPr="00B42ACA">
              <w:rPr>
                <w:rFonts w:cs="Segoe UI Historic"/>
                <w:sz w:val="20"/>
                <w:szCs w:val="20"/>
              </w:rPr>
              <w:t>FBS</w:t>
            </w:r>
          </w:p>
        </w:tc>
        <w:tc>
          <w:tcPr>
            <w:tcW w:w="3993" w:type="pct"/>
            <w:tcBorders>
              <w:bottom w:val="single" w:sz="12" w:space="0" w:color="auto"/>
            </w:tcBorders>
            <w:shd w:val="clear" w:color="auto" w:fill="auto"/>
          </w:tcPr>
          <w:p w14:paraId="70B9ACC0" w14:textId="77777777" w:rsidR="00AD6300" w:rsidRPr="00B42ACA" w:rsidRDefault="00AD6300" w:rsidP="00714F0C">
            <w:pPr>
              <w:pStyle w:val="ESS-TableText"/>
              <w:rPr>
                <w:rFonts w:cs="Segoe UI Historic"/>
                <w:sz w:val="20"/>
                <w:szCs w:val="20"/>
              </w:rPr>
            </w:pPr>
            <w:r w:rsidRPr="00B42ACA">
              <w:rPr>
                <w:rFonts w:cs="Segoe UI Historic"/>
                <w:sz w:val="20"/>
                <w:szCs w:val="20"/>
              </w:rPr>
              <w:t>Product Breakdown Structure</w:t>
            </w:r>
          </w:p>
          <w:p w14:paraId="1649006D" w14:textId="77777777" w:rsidR="00AD6300" w:rsidRPr="00B42ACA" w:rsidRDefault="00AD6300" w:rsidP="00714F0C">
            <w:pPr>
              <w:pStyle w:val="ESS-TableText"/>
              <w:rPr>
                <w:rFonts w:cs="Segoe UI Historic"/>
                <w:sz w:val="20"/>
                <w:szCs w:val="20"/>
              </w:rPr>
            </w:pPr>
            <w:r w:rsidRPr="00B42ACA">
              <w:rPr>
                <w:rFonts w:cs="Segoe UI Historic"/>
                <w:sz w:val="20"/>
                <w:szCs w:val="20"/>
              </w:rPr>
              <w:t>Factory Acceptance Test</w:t>
            </w:r>
          </w:p>
          <w:p w14:paraId="09A20A33" w14:textId="77777777" w:rsidR="00AD6300" w:rsidRPr="00B42ACA" w:rsidRDefault="00AD6300" w:rsidP="00714F0C">
            <w:pPr>
              <w:pStyle w:val="ESS-TableText"/>
              <w:rPr>
                <w:rFonts w:cs="Segoe UI Historic"/>
                <w:sz w:val="20"/>
                <w:szCs w:val="20"/>
              </w:rPr>
            </w:pPr>
            <w:r w:rsidRPr="00B42ACA">
              <w:rPr>
                <w:rFonts w:cs="Segoe UI Historic"/>
                <w:sz w:val="20"/>
                <w:szCs w:val="20"/>
              </w:rPr>
              <w:t>Site Acceptance Test</w:t>
            </w:r>
          </w:p>
          <w:p w14:paraId="286E0DA3" w14:textId="77777777" w:rsidR="00AD6300" w:rsidRPr="00B42ACA" w:rsidRDefault="00AD6300" w:rsidP="00714F0C">
            <w:pPr>
              <w:pStyle w:val="ESS-TableText"/>
              <w:rPr>
                <w:rFonts w:cs="Segoe UI Historic"/>
                <w:sz w:val="20"/>
                <w:szCs w:val="20"/>
              </w:rPr>
            </w:pPr>
            <w:r w:rsidRPr="00B42ACA">
              <w:rPr>
                <w:rFonts w:cs="Segoe UI Historic"/>
                <w:sz w:val="20"/>
                <w:szCs w:val="20"/>
              </w:rPr>
              <w:t>Radiation Protection</w:t>
            </w:r>
          </w:p>
          <w:p w14:paraId="210DE827" w14:textId="77777777" w:rsidR="00AD6300" w:rsidRPr="00B42ACA" w:rsidRDefault="00AD6300" w:rsidP="00714F0C">
            <w:pPr>
              <w:pStyle w:val="ESS-TableText"/>
              <w:rPr>
                <w:rFonts w:cs="Segoe UI Historic"/>
                <w:sz w:val="20"/>
                <w:szCs w:val="20"/>
              </w:rPr>
            </w:pPr>
            <w:r w:rsidRPr="00B42ACA">
              <w:rPr>
                <w:rFonts w:cs="Segoe UI Historic"/>
                <w:sz w:val="20"/>
                <w:szCs w:val="20"/>
              </w:rPr>
              <w:t>Personnel Safety System</w:t>
            </w:r>
          </w:p>
          <w:p w14:paraId="2D8FF404" w14:textId="136DB1B0" w:rsidR="00AD6300" w:rsidRPr="00B42ACA" w:rsidRDefault="00AD6300" w:rsidP="00714F0C">
            <w:pPr>
              <w:pStyle w:val="ESS-TableText"/>
              <w:rPr>
                <w:rFonts w:cs="Segoe UI Historic"/>
                <w:sz w:val="20"/>
                <w:szCs w:val="20"/>
              </w:rPr>
            </w:pPr>
            <w:r w:rsidRPr="00B42ACA">
              <w:rPr>
                <w:rFonts w:cs="Segoe UI Historic"/>
                <w:sz w:val="20"/>
                <w:szCs w:val="20"/>
              </w:rPr>
              <w:t>Pulse Shaping Chopper</w:t>
            </w:r>
          </w:p>
          <w:p w14:paraId="0690FAC0" w14:textId="533ACCBC" w:rsidR="00AD6300" w:rsidRPr="00B42ACA" w:rsidRDefault="00AD6300" w:rsidP="00714F0C">
            <w:pPr>
              <w:pStyle w:val="ESS-TableText"/>
              <w:rPr>
                <w:rFonts w:cs="Segoe UI Historic"/>
                <w:sz w:val="20"/>
                <w:szCs w:val="20"/>
              </w:rPr>
            </w:pPr>
            <w:r w:rsidRPr="00B42ACA">
              <w:rPr>
                <w:rFonts w:cs="Segoe UI Historic"/>
                <w:sz w:val="20"/>
                <w:szCs w:val="20"/>
              </w:rPr>
              <w:t>Bandwidth Chopper</w:t>
            </w:r>
          </w:p>
          <w:p w14:paraId="02F03B32" w14:textId="77777777" w:rsidR="00AD6300" w:rsidRPr="00B42ACA" w:rsidRDefault="00AD6300" w:rsidP="00714F0C">
            <w:pPr>
              <w:pStyle w:val="ESS-TableText"/>
              <w:rPr>
                <w:rFonts w:cs="Segoe UI Historic"/>
                <w:sz w:val="20"/>
                <w:szCs w:val="20"/>
              </w:rPr>
            </w:pPr>
            <w:r w:rsidRPr="00B42ACA">
              <w:rPr>
                <w:rFonts w:cs="Segoe UI Historic"/>
                <w:sz w:val="20"/>
                <w:szCs w:val="20"/>
              </w:rPr>
              <w:t>Frame Overlap Chopper</w:t>
            </w:r>
          </w:p>
          <w:p w14:paraId="551B9D6B" w14:textId="77777777" w:rsidR="00AD6300" w:rsidRPr="00B42ACA" w:rsidRDefault="00AD6300" w:rsidP="00714F0C">
            <w:pPr>
              <w:pStyle w:val="ESS-TableText"/>
              <w:rPr>
                <w:rFonts w:cs="Segoe UI Historic"/>
                <w:sz w:val="20"/>
                <w:szCs w:val="20"/>
              </w:rPr>
            </w:pPr>
            <w:r w:rsidRPr="00B42ACA">
              <w:rPr>
                <w:rFonts w:cs="Segoe UI Historic"/>
                <w:sz w:val="20"/>
                <w:szCs w:val="20"/>
              </w:rPr>
              <w:t>Conventional Facilities</w:t>
            </w:r>
          </w:p>
          <w:p w14:paraId="1F72EAD1" w14:textId="4BBA0CE4" w:rsidR="00AD6300" w:rsidRPr="00B42ACA" w:rsidRDefault="00AD6300" w:rsidP="00714F0C">
            <w:pPr>
              <w:pStyle w:val="ESS-TableText"/>
              <w:rPr>
                <w:rFonts w:cs="Segoe UI Historic"/>
                <w:sz w:val="20"/>
                <w:szCs w:val="20"/>
              </w:rPr>
            </w:pPr>
            <w:r w:rsidRPr="00B42ACA">
              <w:rPr>
                <w:rFonts w:cs="Segoe UI Historic"/>
                <w:sz w:val="20"/>
                <w:szCs w:val="20"/>
              </w:rPr>
              <w:t>Facility Breakdown Structure</w:t>
            </w:r>
          </w:p>
          <w:p w14:paraId="16A70F59" w14:textId="77777777" w:rsidR="00AD6300" w:rsidRPr="00B42ACA" w:rsidRDefault="00AD6300" w:rsidP="00714F0C">
            <w:pPr>
              <w:pStyle w:val="ESS-TableText"/>
              <w:rPr>
                <w:rFonts w:cs="Segoe UI Historic"/>
                <w:sz w:val="20"/>
                <w:szCs w:val="20"/>
              </w:rPr>
            </w:pPr>
          </w:p>
        </w:tc>
      </w:tr>
    </w:tbl>
    <w:p w14:paraId="21714028" w14:textId="77777777" w:rsidR="00AD6300" w:rsidRPr="00B54E4A" w:rsidRDefault="00AD6300" w:rsidP="00606A1F">
      <w:pPr>
        <w:pStyle w:val="Heading1"/>
      </w:pPr>
      <w:bookmarkStart w:id="6" w:name="_Toc192075367"/>
      <w:bookmarkStart w:id="7" w:name="_Toc193364938"/>
      <w:bookmarkStart w:id="8" w:name="_Ref199876445"/>
      <w:bookmarkStart w:id="9" w:name="_Toc199928625"/>
      <w:r w:rsidRPr="00B54E4A">
        <w:t>Cold commissioning (</w:t>
      </w:r>
      <w:r w:rsidRPr="00606A1F">
        <w:t>VERIFICATION</w:t>
      </w:r>
      <w:r w:rsidRPr="00B54E4A">
        <w:t>)</w:t>
      </w:r>
      <w:bookmarkEnd w:id="6"/>
      <w:bookmarkEnd w:id="7"/>
      <w:bookmarkEnd w:id="8"/>
      <w:bookmarkEnd w:id="9"/>
    </w:p>
    <w:p w14:paraId="10B70E1C" w14:textId="7287E4C0" w:rsidR="00AD6300" w:rsidRPr="00B54E4A" w:rsidRDefault="00AD6300" w:rsidP="00606A1F">
      <w:r w:rsidRPr="00B54E4A">
        <w:t xml:space="preserve">The cold commissioning activities for the instrument shall be carried out following the processes outlined in </w:t>
      </w:r>
      <w:r w:rsidR="008B2F32">
        <w:rPr>
          <w:highlight w:val="yellow"/>
        </w:rPr>
        <w:fldChar w:fldCharType="begin"/>
      </w:r>
      <w:r w:rsidR="008B2F32">
        <w:instrText xml:space="preserve"> REF _Ref199934078 \w \h </w:instrText>
      </w:r>
      <w:r w:rsidR="008B2F32">
        <w:rPr>
          <w:highlight w:val="yellow"/>
        </w:rPr>
      </w:r>
      <w:r w:rsidR="008B2F32">
        <w:rPr>
          <w:highlight w:val="yellow"/>
        </w:rPr>
        <w:fldChar w:fldCharType="separate"/>
      </w:r>
      <w:r w:rsidR="008B2F32">
        <w:t>[1]</w:t>
      </w:r>
      <w:r w:rsidR="008B2F32">
        <w:rPr>
          <w:highlight w:val="yellow"/>
        </w:rPr>
        <w:fldChar w:fldCharType="end"/>
      </w:r>
      <w:r w:rsidR="008B2F32">
        <w:t>.</w:t>
      </w:r>
    </w:p>
    <w:p w14:paraId="59A4F7E6" w14:textId="77777777" w:rsidR="00AD6300" w:rsidRPr="00B54E4A" w:rsidRDefault="00AD6300" w:rsidP="00606A1F">
      <w:r w:rsidRPr="00B54E4A">
        <w:t>The cold commissioning is performed via a connected series of local tests and integrated tests, culminating in an integrated test report for the whole instrument demonstrating readiness for hot commissioning.</w:t>
      </w:r>
    </w:p>
    <w:p w14:paraId="28C72772" w14:textId="717007B3" w:rsidR="00AD6300" w:rsidRDefault="00AD6300" w:rsidP="00606A1F">
      <w:r w:rsidRPr="00B54E4A">
        <w:t xml:space="preserve">Each FBS item given below will have an integrated test plan that is designed to validate that the given sub-system meets </w:t>
      </w:r>
      <w:r w:rsidRPr="008B2F32">
        <w:t>requirements</w:t>
      </w:r>
      <w:r w:rsidR="0013576E" w:rsidRPr="008B2F32">
        <w:t xml:space="preserve"> given in </w:t>
      </w:r>
      <w:r w:rsidR="008B2F32" w:rsidRPr="008B2F32">
        <w:fldChar w:fldCharType="begin"/>
      </w:r>
      <w:r w:rsidR="008B2F32" w:rsidRPr="008B2F32">
        <w:instrText xml:space="preserve"> REF _Ref199934090 \w \h </w:instrText>
      </w:r>
      <w:r w:rsidR="008B2F32">
        <w:instrText xml:space="preserve"> \* MERGEFORMAT </w:instrText>
      </w:r>
      <w:r w:rsidR="008B2F32" w:rsidRPr="008B2F32">
        <w:fldChar w:fldCharType="separate"/>
      </w:r>
      <w:r w:rsidR="008B2F32" w:rsidRPr="008B2F32">
        <w:t>[3]</w:t>
      </w:r>
      <w:r w:rsidR="008B2F32" w:rsidRPr="008B2F32">
        <w:fldChar w:fldCharType="end"/>
      </w:r>
      <w:r w:rsidR="008B2F32" w:rsidRPr="008B2F32">
        <w:t xml:space="preserve"> </w:t>
      </w:r>
      <w:r w:rsidR="0013576E" w:rsidRPr="008B2F32">
        <w:t>are fulfilled.</w:t>
      </w:r>
    </w:p>
    <w:p w14:paraId="7B1E08A5" w14:textId="77777777" w:rsidR="00B54E4A" w:rsidRDefault="00B54E4A" w:rsidP="00AD6300">
      <w:pPr>
        <w:rPr>
          <w:rFonts w:asciiTheme="minorHAnsi" w:hAnsiTheme="minorHAnsi" w:cstheme="minorHAnsi"/>
        </w:rPr>
      </w:pPr>
    </w:p>
    <w:p w14:paraId="5E6C67F2" w14:textId="77777777" w:rsidR="00B54E4A" w:rsidRDefault="00B54E4A" w:rsidP="00AD6300">
      <w:pPr>
        <w:rPr>
          <w:rFonts w:asciiTheme="minorHAnsi" w:hAnsiTheme="minorHAnsi" w:cstheme="minorHAnsi"/>
        </w:rPr>
      </w:pPr>
    </w:p>
    <w:p w14:paraId="028609A4" w14:textId="77777777" w:rsidR="00B54E4A" w:rsidRPr="00B54E4A" w:rsidRDefault="00B54E4A" w:rsidP="00AD6300">
      <w:pPr>
        <w:rPr>
          <w:rFonts w:asciiTheme="minorHAnsi" w:hAnsiTheme="minorHAnsi" w:cstheme="minorHAnsi"/>
        </w:rPr>
      </w:pPr>
    </w:p>
    <w:p w14:paraId="28146225" w14:textId="77777777" w:rsidR="00DE0034" w:rsidRPr="00B54E4A" w:rsidRDefault="00DE0034" w:rsidP="0081402A">
      <w:pPr>
        <w:pStyle w:val="Heading2"/>
      </w:pPr>
      <w:bookmarkStart w:id="10" w:name="_Toc192075368"/>
      <w:bookmarkStart w:id="11" w:name="_Toc193364939"/>
      <w:bookmarkStart w:id="12" w:name="_Toc199928626"/>
      <w:r w:rsidRPr="00B54E4A">
        <w:t xml:space="preserve">FBS and Test </w:t>
      </w:r>
      <w:r w:rsidRPr="0081402A">
        <w:t>Reports</w:t>
      </w:r>
      <w:bookmarkEnd w:id="10"/>
      <w:bookmarkEnd w:id="11"/>
      <w:bookmarkEnd w:id="12"/>
    </w:p>
    <w:tbl>
      <w:tblPr>
        <w:tblStyle w:val="TableGrid"/>
        <w:tblW w:w="9380" w:type="dxa"/>
        <w:tblInd w:w="-5" w:type="dxa"/>
        <w:tblLayout w:type="fixed"/>
        <w:tblCellMar>
          <w:left w:w="0" w:type="dxa"/>
          <w:right w:w="0" w:type="dxa"/>
        </w:tblCellMar>
        <w:tblLook w:val="04A0" w:firstRow="1" w:lastRow="0" w:firstColumn="1" w:lastColumn="0" w:noHBand="0" w:noVBand="1"/>
      </w:tblPr>
      <w:tblGrid>
        <w:gridCol w:w="1985"/>
        <w:gridCol w:w="425"/>
        <w:gridCol w:w="992"/>
        <w:gridCol w:w="3544"/>
        <w:gridCol w:w="1134"/>
        <w:gridCol w:w="1300"/>
      </w:tblGrid>
      <w:tr w:rsidR="00DE0034" w:rsidRPr="00B54E4A" w14:paraId="4642AEB5" w14:textId="77777777" w:rsidTr="00782D86">
        <w:trPr>
          <w:trHeight w:val="20"/>
        </w:trPr>
        <w:tc>
          <w:tcPr>
            <w:tcW w:w="1985" w:type="dxa"/>
            <w:tcBorders>
              <w:bottom w:val="double" w:sz="4" w:space="0" w:color="000000" w:themeColor="text1"/>
              <w:right w:val="nil"/>
            </w:tcBorders>
          </w:tcPr>
          <w:p w14:paraId="3105FB9C" w14:textId="77777777" w:rsidR="00DE0034" w:rsidRPr="00B42ACA" w:rsidRDefault="00DE0034" w:rsidP="00714F0C">
            <w:pPr>
              <w:snapToGrid w:val="0"/>
              <w:contextualSpacing/>
              <w:jc w:val="center"/>
              <w:rPr>
                <w:rFonts w:cs="Segoe UI Historic"/>
                <w:sz w:val="20"/>
                <w:szCs w:val="20"/>
              </w:rPr>
            </w:pPr>
            <w:r w:rsidRPr="00B42ACA">
              <w:rPr>
                <w:rFonts w:cs="Segoe UI Historic"/>
                <w:sz w:val="20"/>
                <w:szCs w:val="20"/>
              </w:rPr>
              <w:t>FBS</w:t>
            </w:r>
          </w:p>
        </w:tc>
        <w:tc>
          <w:tcPr>
            <w:tcW w:w="425" w:type="dxa"/>
            <w:tcBorders>
              <w:left w:val="nil"/>
              <w:bottom w:val="double" w:sz="4" w:space="0" w:color="000000" w:themeColor="text1"/>
              <w:right w:val="nil"/>
            </w:tcBorders>
          </w:tcPr>
          <w:p w14:paraId="4D92652A" w14:textId="77777777" w:rsidR="00DE0034" w:rsidRPr="00B42ACA" w:rsidRDefault="00DE0034" w:rsidP="00714F0C">
            <w:pPr>
              <w:snapToGrid w:val="0"/>
              <w:contextualSpacing/>
              <w:jc w:val="center"/>
              <w:rPr>
                <w:rFonts w:cs="Segoe UI Historic"/>
                <w:sz w:val="20"/>
                <w:szCs w:val="20"/>
              </w:rPr>
            </w:pPr>
          </w:p>
        </w:tc>
        <w:tc>
          <w:tcPr>
            <w:tcW w:w="992" w:type="dxa"/>
            <w:tcBorders>
              <w:left w:val="nil"/>
              <w:bottom w:val="double" w:sz="4" w:space="0" w:color="000000" w:themeColor="text1"/>
              <w:right w:val="nil"/>
            </w:tcBorders>
          </w:tcPr>
          <w:p w14:paraId="043FDFC4" w14:textId="77777777" w:rsidR="00DE0034" w:rsidRPr="00B42ACA" w:rsidRDefault="00DE0034" w:rsidP="00714F0C">
            <w:pPr>
              <w:snapToGrid w:val="0"/>
              <w:contextualSpacing/>
              <w:jc w:val="center"/>
              <w:rPr>
                <w:rFonts w:cs="Segoe UI Historic"/>
                <w:sz w:val="20"/>
                <w:szCs w:val="20"/>
              </w:rPr>
            </w:pPr>
          </w:p>
        </w:tc>
        <w:tc>
          <w:tcPr>
            <w:tcW w:w="3544" w:type="dxa"/>
            <w:tcBorders>
              <w:bottom w:val="double" w:sz="4" w:space="0" w:color="000000" w:themeColor="text1"/>
            </w:tcBorders>
          </w:tcPr>
          <w:p w14:paraId="21781E13" w14:textId="77777777" w:rsidR="00DE0034" w:rsidRPr="00B42ACA" w:rsidRDefault="00DE0034" w:rsidP="00714F0C">
            <w:pPr>
              <w:snapToGrid w:val="0"/>
              <w:contextualSpacing/>
              <w:jc w:val="center"/>
              <w:rPr>
                <w:rFonts w:cs="Segoe UI Historic"/>
                <w:sz w:val="20"/>
                <w:szCs w:val="20"/>
              </w:rPr>
            </w:pPr>
            <w:r w:rsidRPr="00B42ACA">
              <w:rPr>
                <w:rFonts w:cs="Segoe UI Historic"/>
                <w:sz w:val="20"/>
                <w:szCs w:val="20"/>
              </w:rPr>
              <w:t>System Name</w:t>
            </w:r>
          </w:p>
        </w:tc>
        <w:tc>
          <w:tcPr>
            <w:tcW w:w="1134" w:type="dxa"/>
            <w:tcBorders>
              <w:bottom w:val="double" w:sz="4" w:space="0" w:color="000000" w:themeColor="text1"/>
            </w:tcBorders>
          </w:tcPr>
          <w:p w14:paraId="18267767" w14:textId="77777777" w:rsidR="00DE0034" w:rsidRPr="00B42ACA" w:rsidRDefault="00DE0034" w:rsidP="00714F0C">
            <w:pPr>
              <w:snapToGrid w:val="0"/>
              <w:contextualSpacing/>
              <w:jc w:val="center"/>
              <w:rPr>
                <w:rFonts w:cs="Segoe UI Historic"/>
                <w:sz w:val="20"/>
                <w:szCs w:val="20"/>
              </w:rPr>
            </w:pPr>
            <w:r w:rsidRPr="00B42ACA">
              <w:rPr>
                <w:rFonts w:cs="Segoe UI Historic"/>
                <w:sz w:val="20"/>
                <w:szCs w:val="20"/>
              </w:rPr>
              <w:t>Integrated Test Report</w:t>
            </w:r>
          </w:p>
        </w:tc>
        <w:tc>
          <w:tcPr>
            <w:tcW w:w="1300" w:type="dxa"/>
            <w:tcBorders>
              <w:bottom w:val="double" w:sz="4" w:space="0" w:color="000000" w:themeColor="text1"/>
            </w:tcBorders>
          </w:tcPr>
          <w:p w14:paraId="16BF5C40" w14:textId="77777777" w:rsidR="00DE0034" w:rsidRPr="00B42ACA" w:rsidRDefault="00DE0034" w:rsidP="00714F0C">
            <w:pPr>
              <w:snapToGrid w:val="0"/>
              <w:contextualSpacing/>
              <w:jc w:val="center"/>
              <w:rPr>
                <w:rFonts w:cs="Segoe UI Historic"/>
                <w:sz w:val="20"/>
                <w:szCs w:val="20"/>
              </w:rPr>
            </w:pPr>
            <w:r w:rsidRPr="00B42ACA">
              <w:rPr>
                <w:rFonts w:cs="Segoe UI Historic"/>
                <w:sz w:val="20"/>
                <w:szCs w:val="20"/>
              </w:rPr>
              <w:t>Integrated Test Plan</w:t>
            </w:r>
          </w:p>
        </w:tc>
      </w:tr>
      <w:tr w:rsidR="00DE0034" w:rsidRPr="00B54E4A" w14:paraId="7B3F49E3" w14:textId="77777777" w:rsidTr="00782D86">
        <w:trPr>
          <w:trHeight w:val="93"/>
        </w:trPr>
        <w:tc>
          <w:tcPr>
            <w:tcW w:w="1985" w:type="dxa"/>
            <w:tcBorders>
              <w:top w:val="double" w:sz="4" w:space="0" w:color="000000" w:themeColor="text1"/>
              <w:right w:val="nil"/>
            </w:tcBorders>
            <w:shd w:val="clear" w:color="auto" w:fill="BFBFBF" w:themeFill="background1" w:themeFillShade="BF"/>
          </w:tcPr>
          <w:p w14:paraId="07353D15" w14:textId="42D7656D" w:rsidR="00DE0034" w:rsidRPr="00B42ACA" w:rsidRDefault="00DE0034" w:rsidP="00714F0C">
            <w:pPr>
              <w:snapToGrid w:val="0"/>
              <w:contextualSpacing/>
              <w:jc w:val="right"/>
              <w:rPr>
                <w:rFonts w:cs="Segoe UI Historic"/>
                <w:sz w:val="20"/>
                <w:szCs w:val="20"/>
              </w:rPr>
            </w:pPr>
            <w:r w:rsidRPr="00B42ACA">
              <w:rPr>
                <w:rFonts w:cs="Segoe UI Historic"/>
                <w:sz w:val="20"/>
                <w:szCs w:val="20"/>
              </w:rPr>
              <w:t>=ESS.NSS.H01.BIFRO</w:t>
            </w:r>
          </w:p>
        </w:tc>
        <w:tc>
          <w:tcPr>
            <w:tcW w:w="425" w:type="dxa"/>
            <w:tcBorders>
              <w:top w:val="double" w:sz="4" w:space="0" w:color="000000" w:themeColor="text1"/>
              <w:left w:val="nil"/>
              <w:right w:val="nil"/>
            </w:tcBorders>
            <w:shd w:val="clear" w:color="auto" w:fill="BFBFBF" w:themeFill="background1" w:themeFillShade="BF"/>
          </w:tcPr>
          <w:p w14:paraId="2075149D" w14:textId="77777777" w:rsidR="00DE0034" w:rsidRPr="00B42ACA" w:rsidRDefault="00DE0034" w:rsidP="00714F0C">
            <w:pPr>
              <w:snapToGrid w:val="0"/>
              <w:contextualSpacing/>
              <w:rPr>
                <w:rFonts w:cs="Segoe UI Historic"/>
                <w:sz w:val="20"/>
                <w:szCs w:val="20"/>
              </w:rPr>
            </w:pPr>
          </w:p>
        </w:tc>
        <w:tc>
          <w:tcPr>
            <w:tcW w:w="992" w:type="dxa"/>
            <w:tcBorders>
              <w:top w:val="double" w:sz="4" w:space="0" w:color="000000" w:themeColor="text1"/>
              <w:left w:val="nil"/>
              <w:right w:val="nil"/>
            </w:tcBorders>
            <w:shd w:val="clear" w:color="auto" w:fill="BFBFBF" w:themeFill="background1" w:themeFillShade="BF"/>
          </w:tcPr>
          <w:p w14:paraId="46A49789" w14:textId="77777777" w:rsidR="00DE0034" w:rsidRPr="00B42ACA" w:rsidRDefault="00DE0034" w:rsidP="00714F0C">
            <w:pPr>
              <w:snapToGrid w:val="0"/>
              <w:contextualSpacing/>
              <w:rPr>
                <w:rFonts w:cs="Segoe UI Historic"/>
                <w:sz w:val="20"/>
                <w:szCs w:val="20"/>
              </w:rPr>
            </w:pPr>
          </w:p>
        </w:tc>
        <w:tc>
          <w:tcPr>
            <w:tcW w:w="3544" w:type="dxa"/>
            <w:tcBorders>
              <w:top w:val="double" w:sz="4" w:space="0" w:color="000000" w:themeColor="text1"/>
            </w:tcBorders>
            <w:shd w:val="clear" w:color="auto" w:fill="BFBFBF" w:themeFill="background1" w:themeFillShade="BF"/>
          </w:tcPr>
          <w:p w14:paraId="33564E11"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FREIA</w:t>
            </w:r>
          </w:p>
        </w:tc>
        <w:tc>
          <w:tcPr>
            <w:tcW w:w="1134" w:type="dxa"/>
            <w:tcBorders>
              <w:top w:val="double" w:sz="4" w:space="0" w:color="000000" w:themeColor="text1"/>
            </w:tcBorders>
            <w:shd w:val="clear" w:color="auto" w:fill="BFBFBF" w:themeFill="background1" w:themeFillShade="BF"/>
          </w:tcPr>
          <w:p w14:paraId="10FDC037" w14:textId="77777777" w:rsidR="00DE0034" w:rsidRPr="00B42ACA" w:rsidRDefault="00DE0034" w:rsidP="00714F0C">
            <w:pPr>
              <w:snapToGrid w:val="0"/>
              <w:contextualSpacing/>
              <w:rPr>
                <w:rFonts w:cs="Segoe UI Historic"/>
                <w:sz w:val="20"/>
                <w:szCs w:val="20"/>
              </w:rPr>
            </w:pPr>
          </w:p>
        </w:tc>
        <w:tc>
          <w:tcPr>
            <w:tcW w:w="1300" w:type="dxa"/>
            <w:tcBorders>
              <w:top w:val="double" w:sz="4" w:space="0" w:color="000000" w:themeColor="text1"/>
            </w:tcBorders>
            <w:shd w:val="clear" w:color="auto" w:fill="BFBFBF" w:themeFill="background1" w:themeFillShade="BF"/>
          </w:tcPr>
          <w:p w14:paraId="71C3AFE1" w14:textId="77777777" w:rsidR="00DE0034" w:rsidRPr="00B42ACA" w:rsidRDefault="00DE0034" w:rsidP="00714F0C">
            <w:pPr>
              <w:snapToGrid w:val="0"/>
              <w:contextualSpacing/>
              <w:rPr>
                <w:rFonts w:cs="Segoe UI Historic"/>
                <w:sz w:val="20"/>
                <w:szCs w:val="20"/>
              </w:rPr>
            </w:pPr>
          </w:p>
        </w:tc>
      </w:tr>
      <w:tr w:rsidR="00DE0034" w:rsidRPr="00B54E4A" w14:paraId="3BD3B89C" w14:textId="77777777" w:rsidTr="00782D86">
        <w:trPr>
          <w:trHeight w:val="20"/>
        </w:trPr>
        <w:tc>
          <w:tcPr>
            <w:tcW w:w="1985" w:type="dxa"/>
            <w:tcBorders>
              <w:right w:val="nil"/>
            </w:tcBorders>
          </w:tcPr>
          <w:p w14:paraId="4602931C" w14:textId="77777777" w:rsidR="00DE0034" w:rsidRPr="00B42ACA" w:rsidRDefault="00DE0034" w:rsidP="00714F0C">
            <w:pPr>
              <w:snapToGrid w:val="0"/>
              <w:contextualSpacing/>
              <w:jc w:val="right"/>
              <w:rPr>
                <w:rFonts w:cs="Segoe UI Historic"/>
                <w:color w:val="000000" w:themeColor="text1"/>
                <w:sz w:val="20"/>
                <w:szCs w:val="20"/>
              </w:rPr>
            </w:pPr>
          </w:p>
        </w:tc>
        <w:tc>
          <w:tcPr>
            <w:tcW w:w="425" w:type="dxa"/>
            <w:tcBorders>
              <w:left w:val="nil"/>
              <w:right w:val="nil"/>
            </w:tcBorders>
          </w:tcPr>
          <w:p w14:paraId="6BD26692" w14:textId="77777777" w:rsidR="00DE0034" w:rsidRPr="00B42ACA" w:rsidRDefault="00DE0034" w:rsidP="00714F0C">
            <w:pPr>
              <w:snapToGrid w:val="0"/>
              <w:contextualSpacing/>
              <w:rPr>
                <w:rFonts w:cs="Segoe UI Historic"/>
                <w:color w:val="000000" w:themeColor="text1"/>
                <w:sz w:val="20"/>
                <w:szCs w:val="20"/>
              </w:rPr>
            </w:pPr>
            <w:r w:rsidRPr="00B42ACA">
              <w:rPr>
                <w:rFonts w:cs="Segoe UI Historic"/>
                <w:color w:val="000000" w:themeColor="text1"/>
                <w:sz w:val="20"/>
                <w:szCs w:val="20"/>
              </w:rPr>
              <w:t>.G01</w:t>
            </w:r>
          </w:p>
        </w:tc>
        <w:tc>
          <w:tcPr>
            <w:tcW w:w="992" w:type="dxa"/>
            <w:tcBorders>
              <w:left w:val="nil"/>
              <w:right w:val="nil"/>
            </w:tcBorders>
          </w:tcPr>
          <w:p w14:paraId="01B5E13C" w14:textId="77777777" w:rsidR="00DE0034" w:rsidRPr="00B42ACA" w:rsidRDefault="00DE0034" w:rsidP="00714F0C">
            <w:pPr>
              <w:snapToGrid w:val="0"/>
              <w:contextualSpacing/>
              <w:rPr>
                <w:rFonts w:cs="Segoe UI Historic"/>
                <w:color w:val="000000" w:themeColor="text1"/>
                <w:sz w:val="20"/>
                <w:szCs w:val="20"/>
              </w:rPr>
            </w:pPr>
          </w:p>
        </w:tc>
        <w:tc>
          <w:tcPr>
            <w:tcW w:w="3544" w:type="dxa"/>
          </w:tcPr>
          <w:p w14:paraId="398E6761" w14:textId="58B8C66F" w:rsidR="00DE0034" w:rsidRPr="00B42ACA" w:rsidRDefault="00DE0034" w:rsidP="00714F0C">
            <w:pPr>
              <w:snapToGrid w:val="0"/>
              <w:contextualSpacing/>
              <w:rPr>
                <w:rFonts w:cs="Segoe UI Historic"/>
                <w:color w:val="000000" w:themeColor="text1"/>
                <w:sz w:val="20"/>
                <w:szCs w:val="20"/>
              </w:rPr>
            </w:pPr>
            <w:r w:rsidRPr="00B42ACA">
              <w:rPr>
                <w:rFonts w:cs="Segoe UI Historic"/>
                <w:color w:val="000000" w:themeColor="text1"/>
                <w:sz w:val="20"/>
                <w:szCs w:val="20"/>
              </w:rPr>
              <w:t>Vacuum System (BIFROST)</w:t>
            </w:r>
          </w:p>
        </w:tc>
        <w:tc>
          <w:tcPr>
            <w:tcW w:w="1134" w:type="dxa"/>
          </w:tcPr>
          <w:p w14:paraId="2720D101" w14:textId="1D1A4EBF" w:rsidR="00DE0034" w:rsidRPr="00B42ACA" w:rsidRDefault="009B478B" w:rsidP="00714F0C">
            <w:pPr>
              <w:snapToGrid w:val="0"/>
              <w:contextualSpacing/>
              <w:rPr>
                <w:rFonts w:cs="Segoe UI Historic"/>
                <w:color w:val="000000" w:themeColor="text1"/>
                <w:sz w:val="20"/>
                <w:szCs w:val="20"/>
              </w:rPr>
            </w:pPr>
            <w:r>
              <w:rPr>
                <w:rFonts w:cs="Segoe UI Historic"/>
                <w:sz w:val="20"/>
                <w:szCs w:val="20"/>
              </w:rPr>
              <w:t>N/A</w:t>
            </w:r>
          </w:p>
        </w:tc>
        <w:tc>
          <w:tcPr>
            <w:tcW w:w="1300" w:type="dxa"/>
          </w:tcPr>
          <w:p w14:paraId="30FED8E6" w14:textId="39A26EAE" w:rsidR="00DE0034" w:rsidRPr="00B42ACA" w:rsidRDefault="009B478B" w:rsidP="00714F0C">
            <w:pPr>
              <w:snapToGrid w:val="0"/>
              <w:contextualSpacing/>
              <w:rPr>
                <w:rFonts w:cs="Segoe UI Historic"/>
                <w:color w:val="000000" w:themeColor="text1"/>
                <w:sz w:val="20"/>
                <w:szCs w:val="20"/>
              </w:rPr>
            </w:pPr>
            <w:r>
              <w:rPr>
                <w:rFonts w:cs="Segoe UI Historic"/>
                <w:color w:val="000000" w:themeColor="text1"/>
                <w:sz w:val="20"/>
                <w:szCs w:val="20"/>
              </w:rPr>
              <w:t>N/A</w:t>
            </w:r>
          </w:p>
        </w:tc>
      </w:tr>
      <w:tr w:rsidR="00DE0034" w:rsidRPr="00B54E4A" w14:paraId="4F3E8EFD" w14:textId="77777777" w:rsidTr="00782D86">
        <w:trPr>
          <w:trHeight w:val="20"/>
        </w:trPr>
        <w:tc>
          <w:tcPr>
            <w:tcW w:w="1985" w:type="dxa"/>
            <w:tcBorders>
              <w:right w:val="nil"/>
            </w:tcBorders>
          </w:tcPr>
          <w:p w14:paraId="445E1655"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688B96AA"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.F01</w:t>
            </w:r>
          </w:p>
        </w:tc>
        <w:tc>
          <w:tcPr>
            <w:tcW w:w="992" w:type="dxa"/>
            <w:tcBorders>
              <w:left w:val="nil"/>
              <w:right w:val="nil"/>
            </w:tcBorders>
          </w:tcPr>
          <w:p w14:paraId="4E1FE527" w14:textId="77777777" w:rsidR="00DE0034" w:rsidRPr="00B42ACA" w:rsidRDefault="00DE0034" w:rsidP="00714F0C">
            <w:pPr>
              <w:snapToGrid w:val="0"/>
              <w:contextualSpacing/>
              <w:rPr>
                <w:rFonts w:cs="Segoe UI Historic"/>
                <w:sz w:val="20"/>
                <w:szCs w:val="20"/>
              </w:rPr>
            </w:pPr>
          </w:p>
        </w:tc>
        <w:tc>
          <w:tcPr>
            <w:tcW w:w="3544" w:type="dxa"/>
          </w:tcPr>
          <w:p w14:paraId="38A6EA80" w14:textId="465DD9E3" w:rsidR="00DE0034" w:rsidRPr="00B42ACA" w:rsidRDefault="00DE0034" w:rsidP="00714F0C">
            <w:pPr>
              <w:snapToGrid w:val="0"/>
              <w:contextualSpacing/>
              <w:rPr>
                <w:rFonts w:cs="Segoe UI Historic"/>
                <w:sz w:val="20"/>
                <w:szCs w:val="20"/>
              </w:rPr>
            </w:pPr>
            <w:r w:rsidRPr="00B42ACA">
              <w:rPr>
                <w:rFonts w:cs="Segoe UI Historic"/>
                <w:sz w:val="20"/>
                <w:szCs w:val="20"/>
              </w:rPr>
              <w:t>Personnel Safety System (BIFROST PSS)</w:t>
            </w:r>
          </w:p>
        </w:tc>
        <w:tc>
          <w:tcPr>
            <w:tcW w:w="1134" w:type="dxa"/>
          </w:tcPr>
          <w:p w14:paraId="767F0876" w14:textId="7D861D2D" w:rsidR="00DE0034" w:rsidRPr="00B42ACA" w:rsidRDefault="009B478B" w:rsidP="00714F0C">
            <w:pPr>
              <w:snapToGrid w:val="0"/>
              <w:contextualSpacing/>
              <w:rPr>
                <w:rFonts w:cs="Segoe UI Historic"/>
                <w:sz w:val="20"/>
                <w:szCs w:val="20"/>
              </w:rPr>
            </w:pPr>
            <w:r>
              <w:rPr>
                <w:rFonts w:cs="Segoe UI Historic"/>
                <w:sz w:val="20"/>
                <w:szCs w:val="20"/>
              </w:rPr>
              <w:t>N/A</w:t>
            </w:r>
          </w:p>
        </w:tc>
        <w:tc>
          <w:tcPr>
            <w:tcW w:w="1300" w:type="dxa"/>
          </w:tcPr>
          <w:p w14:paraId="0274A084" w14:textId="16DA59FF" w:rsidR="00DE0034" w:rsidRPr="00B42ACA" w:rsidRDefault="009B478B" w:rsidP="00714F0C">
            <w:pPr>
              <w:snapToGrid w:val="0"/>
              <w:contextualSpacing/>
              <w:rPr>
                <w:rFonts w:cs="Segoe UI Historic"/>
                <w:sz w:val="20"/>
                <w:szCs w:val="20"/>
              </w:rPr>
            </w:pPr>
            <w:r>
              <w:rPr>
                <w:rFonts w:cs="Segoe UI Historic"/>
                <w:sz w:val="20"/>
                <w:szCs w:val="20"/>
              </w:rPr>
              <w:t>N/A</w:t>
            </w:r>
          </w:p>
        </w:tc>
      </w:tr>
      <w:tr w:rsidR="00DE0034" w:rsidRPr="00B54E4A" w14:paraId="2781FA79" w14:textId="77777777" w:rsidTr="00782D86">
        <w:trPr>
          <w:trHeight w:val="20"/>
        </w:trPr>
        <w:tc>
          <w:tcPr>
            <w:tcW w:w="1985" w:type="dxa"/>
            <w:tcBorders>
              <w:right w:val="nil"/>
            </w:tcBorders>
            <w:shd w:val="clear" w:color="auto" w:fill="D9D9D9" w:themeFill="background1" w:themeFillShade="D9"/>
          </w:tcPr>
          <w:p w14:paraId="2E00721B"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62263964"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.A01</w:t>
            </w:r>
          </w:p>
        </w:tc>
        <w:tc>
          <w:tcPr>
            <w:tcW w:w="992" w:type="dxa"/>
            <w:tcBorders>
              <w:left w:val="nil"/>
              <w:right w:val="nil"/>
            </w:tcBorders>
            <w:shd w:val="clear" w:color="auto" w:fill="D9D9D9" w:themeFill="background1" w:themeFillShade="D9"/>
          </w:tcPr>
          <w:p w14:paraId="6F74AB62" w14:textId="77777777" w:rsidR="00DE0034" w:rsidRPr="00B42ACA" w:rsidRDefault="00DE0034" w:rsidP="00714F0C">
            <w:pPr>
              <w:snapToGrid w:val="0"/>
              <w:contextualSpacing/>
              <w:rPr>
                <w:rFonts w:cs="Segoe UI Historic"/>
                <w:sz w:val="20"/>
                <w:szCs w:val="20"/>
              </w:rPr>
            </w:pPr>
          </w:p>
        </w:tc>
        <w:tc>
          <w:tcPr>
            <w:tcW w:w="3544" w:type="dxa"/>
            <w:shd w:val="clear" w:color="auto" w:fill="D9D9D9" w:themeFill="background1" w:themeFillShade="D9"/>
          </w:tcPr>
          <w:p w14:paraId="69DFCAAE"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Beam Transport and Conditioning</w:t>
            </w:r>
          </w:p>
        </w:tc>
        <w:tc>
          <w:tcPr>
            <w:tcW w:w="1134" w:type="dxa"/>
            <w:shd w:val="clear" w:color="auto" w:fill="D9D9D9" w:themeFill="background1" w:themeFillShade="D9"/>
          </w:tcPr>
          <w:p w14:paraId="496F6D9F" w14:textId="77777777" w:rsidR="00DE0034" w:rsidRPr="00B42ACA" w:rsidRDefault="00DE0034" w:rsidP="00714F0C">
            <w:pPr>
              <w:snapToGrid w:val="0"/>
              <w:contextualSpacing/>
              <w:rPr>
                <w:rFonts w:cs="Segoe UI Historic"/>
                <w:sz w:val="20"/>
                <w:szCs w:val="20"/>
              </w:rPr>
            </w:pPr>
          </w:p>
        </w:tc>
        <w:tc>
          <w:tcPr>
            <w:tcW w:w="1300" w:type="dxa"/>
            <w:shd w:val="clear" w:color="auto" w:fill="D9D9D9" w:themeFill="background1" w:themeFillShade="D9"/>
          </w:tcPr>
          <w:p w14:paraId="52CD42A1" w14:textId="77777777" w:rsidR="00DE0034" w:rsidRPr="00B42ACA" w:rsidRDefault="00DE0034" w:rsidP="00714F0C">
            <w:pPr>
              <w:snapToGrid w:val="0"/>
              <w:contextualSpacing/>
              <w:rPr>
                <w:rFonts w:cs="Segoe UI Historic"/>
                <w:sz w:val="20"/>
                <w:szCs w:val="20"/>
              </w:rPr>
            </w:pPr>
          </w:p>
        </w:tc>
      </w:tr>
      <w:tr w:rsidR="00DE0034" w:rsidRPr="00B54E4A" w14:paraId="5E770070" w14:textId="77777777" w:rsidTr="00782D86">
        <w:trPr>
          <w:trHeight w:val="20"/>
        </w:trPr>
        <w:tc>
          <w:tcPr>
            <w:tcW w:w="1985" w:type="dxa"/>
            <w:tcBorders>
              <w:right w:val="nil"/>
            </w:tcBorders>
          </w:tcPr>
          <w:p w14:paraId="4072C195"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0D7951DD"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024651DF"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.B01</w:t>
            </w:r>
          </w:p>
        </w:tc>
        <w:tc>
          <w:tcPr>
            <w:tcW w:w="3544" w:type="dxa"/>
          </w:tcPr>
          <w:p w14:paraId="5EBF8F88"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Beam Validation System</w:t>
            </w:r>
          </w:p>
        </w:tc>
        <w:tc>
          <w:tcPr>
            <w:tcW w:w="1134" w:type="dxa"/>
          </w:tcPr>
          <w:p w14:paraId="75F24519" w14:textId="5ED8E725" w:rsidR="00DE0034" w:rsidRPr="00B42ACA" w:rsidRDefault="009B478B" w:rsidP="00714F0C">
            <w:pPr>
              <w:snapToGrid w:val="0"/>
              <w:contextualSpacing/>
              <w:rPr>
                <w:rFonts w:cs="Segoe UI Historic"/>
                <w:sz w:val="20"/>
                <w:szCs w:val="20"/>
              </w:rPr>
            </w:pPr>
            <w:r w:rsidRPr="009B478B">
              <w:rPr>
                <w:rFonts w:cs="Segoe UI Historic"/>
                <w:sz w:val="20"/>
                <w:szCs w:val="20"/>
                <w:u w:val="single"/>
              </w:rPr>
              <w:t>ESS-5795896</w:t>
            </w:r>
          </w:p>
        </w:tc>
        <w:tc>
          <w:tcPr>
            <w:tcW w:w="1300" w:type="dxa"/>
          </w:tcPr>
          <w:p w14:paraId="6A51C81D" w14:textId="1DF837B5" w:rsidR="00DE0034" w:rsidRPr="00B42ACA" w:rsidRDefault="009B478B" w:rsidP="00714F0C">
            <w:pPr>
              <w:snapToGrid w:val="0"/>
              <w:contextualSpacing/>
              <w:rPr>
                <w:rFonts w:cs="Segoe UI Historic"/>
                <w:sz w:val="20"/>
                <w:szCs w:val="20"/>
              </w:rPr>
            </w:pPr>
            <w:r w:rsidRPr="009B478B">
              <w:rPr>
                <w:rFonts w:cs="Segoe UI Historic"/>
                <w:sz w:val="20"/>
                <w:szCs w:val="20"/>
              </w:rPr>
              <w:t>ESS-5764649</w:t>
            </w:r>
          </w:p>
        </w:tc>
      </w:tr>
      <w:tr w:rsidR="00DE0034" w:rsidRPr="00B54E4A" w14:paraId="4A2EDC38" w14:textId="77777777" w:rsidTr="00782D86">
        <w:trPr>
          <w:trHeight w:val="20"/>
        </w:trPr>
        <w:tc>
          <w:tcPr>
            <w:tcW w:w="1985" w:type="dxa"/>
            <w:tcBorders>
              <w:right w:val="nil"/>
            </w:tcBorders>
          </w:tcPr>
          <w:p w14:paraId="1658A4DA"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61B902B4"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11A9A67C"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.F01</w:t>
            </w:r>
          </w:p>
        </w:tc>
        <w:tc>
          <w:tcPr>
            <w:tcW w:w="3544" w:type="dxa"/>
          </w:tcPr>
          <w:p w14:paraId="34649686"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Neutron Guide Shielding</w:t>
            </w:r>
          </w:p>
        </w:tc>
        <w:tc>
          <w:tcPr>
            <w:tcW w:w="1134" w:type="dxa"/>
          </w:tcPr>
          <w:p w14:paraId="11EF645B" w14:textId="2E622CB6" w:rsidR="00DE0034" w:rsidRPr="00B42ACA" w:rsidRDefault="00DE0034" w:rsidP="00714F0C">
            <w:pPr>
              <w:snapToGrid w:val="0"/>
              <w:contextualSpacing/>
              <w:rPr>
                <w:rFonts w:cs="Segoe UI Historic"/>
                <w:sz w:val="20"/>
                <w:szCs w:val="20"/>
              </w:rPr>
            </w:pPr>
            <w:r w:rsidRPr="00B42ACA">
              <w:rPr>
                <w:rFonts w:cs="Segoe UI Historic"/>
                <w:sz w:val="20"/>
                <w:szCs w:val="20"/>
              </w:rPr>
              <w:t>N/A</w:t>
            </w:r>
          </w:p>
        </w:tc>
        <w:tc>
          <w:tcPr>
            <w:tcW w:w="1300" w:type="dxa"/>
          </w:tcPr>
          <w:p w14:paraId="27E9AA16" w14:textId="7852CEBB" w:rsidR="00DE0034" w:rsidRPr="00B42ACA" w:rsidRDefault="00DE0034" w:rsidP="00714F0C">
            <w:pPr>
              <w:snapToGrid w:val="0"/>
              <w:contextualSpacing/>
              <w:rPr>
                <w:rFonts w:cs="Segoe UI Historic"/>
                <w:sz w:val="20"/>
                <w:szCs w:val="20"/>
              </w:rPr>
            </w:pPr>
            <w:r w:rsidRPr="00B42ACA">
              <w:rPr>
                <w:rFonts w:cs="Segoe UI Historic"/>
                <w:sz w:val="20"/>
                <w:szCs w:val="20"/>
              </w:rPr>
              <w:t>N/A</w:t>
            </w:r>
          </w:p>
        </w:tc>
      </w:tr>
      <w:tr w:rsidR="00DE0034" w:rsidRPr="00B54E4A" w14:paraId="6120D1F0" w14:textId="77777777" w:rsidTr="00782D86">
        <w:trPr>
          <w:trHeight w:val="20"/>
        </w:trPr>
        <w:tc>
          <w:tcPr>
            <w:tcW w:w="1985" w:type="dxa"/>
            <w:tcBorders>
              <w:right w:val="nil"/>
            </w:tcBorders>
          </w:tcPr>
          <w:p w14:paraId="02C31C1A"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1219B710"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7F909B55"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.R01</w:t>
            </w:r>
          </w:p>
        </w:tc>
        <w:tc>
          <w:tcPr>
            <w:tcW w:w="3544" w:type="dxa"/>
          </w:tcPr>
          <w:p w14:paraId="69A3F766"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Neutron Chopper System</w:t>
            </w:r>
          </w:p>
        </w:tc>
        <w:tc>
          <w:tcPr>
            <w:tcW w:w="1134" w:type="dxa"/>
          </w:tcPr>
          <w:p w14:paraId="5256F712" w14:textId="6CFB7F5F" w:rsidR="00DE0034" w:rsidRPr="00B42ACA" w:rsidRDefault="009B478B" w:rsidP="00714F0C">
            <w:pPr>
              <w:snapToGrid w:val="0"/>
              <w:contextualSpacing/>
              <w:rPr>
                <w:rFonts w:cs="Segoe UI Historic"/>
                <w:sz w:val="20"/>
                <w:szCs w:val="20"/>
              </w:rPr>
            </w:pPr>
            <w:r w:rsidRPr="009B478B">
              <w:rPr>
                <w:rFonts w:cs="Segoe UI Historic"/>
                <w:sz w:val="20"/>
                <w:szCs w:val="20"/>
                <w:u w:val="single"/>
              </w:rPr>
              <w:t>ESS-5759687</w:t>
            </w:r>
          </w:p>
        </w:tc>
        <w:tc>
          <w:tcPr>
            <w:tcW w:w="1300" w:type="dxa"/>
          </w:tcPr>
          <w:p w14:paraId="6D514068" w14:textId="199DEFD4" w:rsidR="00DE0034" w:rsidRPr="00B42ACA" w:rsidRDefault="00CF4ECB" w:rsidP="00714F0C">
            <w:pPr>
              <w:snapToGrid w:val="0"/>
              <w:contextualSpacing/>
              <w:rPr>
                <w:rFonts w:cs="Segoe UI Historic"/>
                <w:sz w:val="20"/>
                <w:szCs w:val="20"/>
              </w:rPr>
            </w:pPr>
            <w:hyperlink r:id="rId9" w:history="1">
              <w:r w:rsidRPr="0058465E">
                <w:rPr>
                  <w:rStyle w:val="Hyperlink"/>
                  <w:rFonts w:cs="Segoe UI Historic"/>
                  <w:sz w:val="20"/>
                  <w:szCs w:val="20"/>
                </w:rPr>
                <w:t>ESS-5690504</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_Ref199935167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[8]</w:t>
            </w:r>
            <w:r w:rsidR="00782D86">
              <w:rPr>
                <w:rFonts w:cs="Segoe UI Historic"/>
                <w:color w:val="000000" w:themeColor="text1"/>
                <w:sz w:val="20"/>
                <w:szCs w:val="20"/>
              </w:rPr>
              <w:fldChar w:fldCharType="end"/>
            </w:r>
          </w:p>
        </w:tc>
      </w:tr>
      <w:tr w:rsidR="00DE0034" w:rsidRPr="00B54E4A" w14:paraId="7370C562" w14:textId="77777777" w:rsidTr="00782D86">
        <w:trPr>
          <w:trHeight w:val="20"/>
        </w:trPr>
        <w:tc>
          <w:tcPr>
            <w:tcW w:w="1985" w:type="dxa"/>
            <w:tcBorders>
              <w:right w:val="nil"/>
            </w:tcBorders>
          </w:tcPr>
          <w:p w14:paraId="4322BD47"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26C42583"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4DDFC876"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.R02</w:t>
            </w:r>
          </w:p>
        </w:tc>
        <w:tc>
          <w:tcPr>
            <w:tcW w:w="3544" w:type="dxa"/>
          </w:tcPr>
          <w:p w14:paraId="1D1A47B6"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Beam Geometry Conditioning</w:t>
            </w:r>
          </w:p>
        </w:tc>
        <w:tc>
          <w:tcPr>
            <w:tcW w:w="1134" w:type="dxa"/>
          </w:tcPr>
          <w:p w14:paraId="143DD9BA" w14:textId="4C19B6AD" w:rsidR="00DE0034" w:rsidRPr="00B42ACA" w:rsidRDefault="003574D3" w:rsidP="00714F0C">
            <w:pPr>
              <w:snapToGrid w:val="0"/>
              <w:contextualSpacing/>
              <w:rPr>
                <w:rFonts w:cs="Segoe UI Historic"/>
                <w:sz w:val="20"/>
                <w:szCs w:val="20"/>
              </w:rPr>
            </w:pPr>
            <w:r w:rsidRPr="003574D3">
              <w:rPr>
                <w:rFonts w:cs="Segoe UI Historic"/>
                <w:sz w:val="20"/>
                <w:szCs w:val="20"/>
                <w:u w:val="single"/>
              </w:rPr>
              <w:t>ESS-5760672</w:t>
            </w:r>
          </w:p>
        </w:tc>
        <w:tc>
          <w:tcPr>
            <w:tcW w:w="1300" w:type="dxa"/>
          </w:tcPr>
          <w:p w14:paraId="23D6686C" w14:textId="4807F817" w:rsidR="00DE0034" w:rsidRPr="00B42ACA" w:rsidRDefault="00CF4ECB" w:rsidP="00714F0C">
            <w:pPr>
              <w:snapToGrid w:val="0"/>
              <w:contextualSpacing/>
              <w:rPr>
                <w:rFonts w:cs="Segoe UI Historic"/>
                <w:sz w:val="20"/>
                <w:szCs w:val="20"/>
              </w:rPr>
            </w:pPr>
            <w:hyperlink r:id="rId10" w:history="1">
              <w:r w:rsidRPr="00CD5A6B">
                <w:rPr>
                  <w:rStyle w:val="Hyperlink"/>
                  <w:rFonts w:cs="Segoe UI Historic"/>
                  <w:sz w:val="20"/>
                  <w:szCs w:val="20"/>
                </w:rPr>
                <w:t>ESS-5690168</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_Ref199935181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[9]</w:t>
            </w:r>
            <w:r w:rsidR="00782D86">
              <w:rPr>
                <w:rFonts w:cs="Segoe UI Historic"/>
                <w:color w:val="000000" w:themeColor="text1"/>
                <w:sz w:val="20"/>
                <w:szCs w:val="20"/>
              </w:rPr>
              <w:fldChar w:fldCharType="end"/>
            </w:r>
          </w:p>
        </w:tc>
      </w:tr>
      <w:tr w:rsidR="00DE0034" w:rsidRPr="00B54E4A" w14:paraId="7F546137" w14:textId="77777777" w:rsidTr="00782D86">
        <w:trPr>
          <w:trHeight w:val="20"/>
        </w:trPr>
        <w:tc>
          <w:tcPr>
            <w:tcW w:w="1985" w:type="dxa"/>
            <w:tcBorders>
              <w:right w:val="nil"/>
            </w:tcBorders>
          </w:tcPr>
          <w:p w14:paraId="48512BC0"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6D0834FF"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6EE60914"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.R03</w:t>
            </w:r>
          </w:p>
        </w:tc>
        <w:tc>
          <w:tcPr>
            <w:tcW w:w="3544" w:type="dxa"/>
          </w:tcPr>
          <w:p w14:paraId="09F73A95" w14:textId="308A6109" w:rsidR="00DE0034" w:rsidRPr="00B42ACA" w:rsidRDefault="00DE0034" w:rsidP="00714F0C">
            <w:pPr>
              <w:snapToGrid w:val="0"/>
              <w:contextualSpacing/>
              <w:rPr>
                <w:rFonts w:cs="Segoe UI Historic"/>
                <w:sz w:val="20"/>
                <w:szCs w:val="20"/>
              </w:rPr>
            </w:pPr>
            <w:r w:rsidRPr="00B42ACA">
              <w:rPr>
                <w:rFonts w:cs="Segoe UI Historic"/>
                <w:sz w:val="20"/>
                <w:szCs w:val="20"/>
              </w:rPr>
              <w:t xml:space="preserve">Beam Cut Off </w:t>
            </w:r>
          </w:p>
        </w:tc>
        <w:tc>
          <w:tcPr>
            <w:tcW w:w="1134" w:type="dxa"/>
          </w:tcPr>
          <w:p w14:paraId="6C8F1269" w14:textId="11ACF9A0" w:rsidR="00DE0034" w:rsidRPr="00B42ACA" w:rsidRDefault="003574D3" w:rsidP="00714F0C">
            <w:pPr>
              <w:snapToGrid w:val="0"/>
              <w:contextualSpacing/>
              <w:rPr>
                <w:rFonts w:cs="Segoe UI Historic"/>
                <w:sz w:val="20"/>
                <w:szCs w:val="20"/>
              </w:rPr>
            </w:pPr>
            <w:r w:rsidRPr="003574D3">
              <w:rPr>
                <w:rFonts w:cs="Segoe UI Historic"/>
                <w:sz w:val="20"/>
                <w:szCs w:val="20"/>
                <w:u w:val="single"/>
              </w:rPr>
              <w:t>ESS-5760672</w:t>
            </w:r>
          </w:p>
        </w:tc>
        <w:tc>
          <w:tcPr>
            <w:tcW w:w="1300" w:type="dxa"/>
          </w:tcPr>
          <w:p w14:paraId="47C22D65" w14:textId="7EB6F2ED" w:rsidR="00DE0034" w:rsidRPr="00B42ACA" w:rsidRDefault="00CD5A6B" w:rsidP="00714F0C">
            <w:pPr>
              <w:snapToGrid w:val="0"/>
              <w:contextualSpacing/>
              <w:rPr>
                <w:rFonts w:cs="Segoe UI Historic"/>
                <w:sz w:val="20"/>
                <w:szCs w:val="20"/>
              </w:rPr>
            </w:pPr>
            <w:hyperlink r:id="rId11" w:history="1">
              <w:r w:rsidRPr="00CD5A6B">
                <w:rPr>
                  <w:rStyle w:val="Hyperlink"/>
                  <w:rFonts w:cs="Segoe UI Historic"/>
                  <w:sz w:val="20"/>
                  <w:szCs w:val="20"/>
                </w:rPr>
                <w:t>ESS-5690168</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_Ref199935181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[9]</w:t>
            </w:r>
            <w:r w:rsidR="00782D86">
              <w:rPr>
                <w:rFonts w:cs="Segoe UI Historic"/>
                <w:color w:val="000000" w:themeColor="text1"/>
                <w:sz w:val="20"/>
                <w:szCs w:val="20"/>
              </w:rPr>
              <w:fldChar w:fldCharType="end"/>
            </w:r>
          </w:p>
        </w:tc>
      </w:tr>
      <w:tr w:rsidR="00DE0034" w:rsidRPr="00B54E4A" w14:paraId="2C9A0F75" w14:textId="77777777" w:rsidTr="00782D86">
        <w:trPr>
          <w:trHeight w:val="20"/>
        </w:trPr>
        <w:tc>
          <w:tcPr>
            <w:tcW w:w="1985" w:type="dxa"/>
            <w:tcBorders>
              <w:right w:val="nil"/>
            </w:tcBorders>
          </w:tcPr>
          <w:p w14:paraId="63227FE7"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3D91A3C0"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1743C6A2"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.W01</w:t>
            </w:r>
          </w:p>
        </w:tc>
        <w:tc>
          <w:tcPr>
            <w:tcW w:w="3544" w:type="dxa"/>
          </w:tcPr>
          <w:p w14:paraId="1E27EC13"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Beam Delivery System</w:t>
            </w:r>
          </w:p>
        </w:tc>
        <w:tc>
          <w:tcPr>
            <w:tcW w:w="1134" w:type="dxa"/>
          </w:tcPr>
          <w:p w14:paraId="7C9869B8" w14:textId="154BB18F" w:rsidR="00DE0034" w:rsidRPr="00B42ACA" w:rsidRDefault="009B478B" w:rsidP="00714F0C">
            <w:pPr>
              <w:snapToGrid w:val="0"/>
              <w:contextualSpacing/>
              <w:rPr>
                <w:rFonts w:cs="Segoe UI Historic"/>
                <w:sz w:val="20"/>
                <w:szCs w:val="20"/>
              </w:rPr>
            </w:pPr>
            <w:r>
              <w:rPr>
                <w:rFonts w:cs="Segoe UI Historic"/>
                <w:sz w:val="20"/>
                <w:szCs w:val="20"/>
              </w:rPr>
              <w:t>N/A</w:t>
            </w:r>
          </w:p>
        </w:tc>
        <w:tc>
          <w:tcPr>
            <w:tcW w:w="1300" w:type="dxa"/>
          </w:tcPr>
          <w:p w14:paraId="7E1CA95B" w14:textId="33C08624" w:rsidR="00DE0034" w:rsidRPr="00B42ACA" w:rsidRDefault="00CF4ECB" w:rsidP="00714F0C">
            <w:pPr>
              <w:snapToGrid w:val="0"/>
              <w:contextualSpacing/>
              <w:rPr>
                <w:rFonts w:cs="Segoe UI Historic"/>
                <w:sz w:val="20"/>
                <w:szCs w:val="20"/>
              </w:rPr>
            </w:pPr>
            <w:r w:rsidRPr="00B42ACA">
              <w:rPr>
                <w:rFonts w:cs="Segoe UI Historic"/>
                <w:sz w:val="20"/>
                <w:szCs w:val="20"/>
              </w:rPr>
              <w:t>N/A</w:t>
            </w:r>
          </w:p>
        </w:tc>
      </w:tr>
      <w:tr w:rsidR="00DE0034" w:rsidRPr="00B54E4A" w14:paraId="0898008C" w14:textId="77777777" w:rsidTr="00782D86">
        <w:trPr>
          <w:trHeight w:val="20"/>
        </w:trPr>
        <w:tc>
          <w:tcPr>
            <w:tcW w:w="1985" w:type="dxa"/>
            <w:tcBorders>
              <w:right w:val="nil"/>
            </w:tcBorders>
          </w:tcPr>
          <w:p w14:paraId="2D4FB7AC"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tcPr>
          <w:p w14:paraId="664615DA" w14:textId="77777777" w:rsidR="00DE0034" w:rsidRPr="00B42ACA" w:rsidRDefault="00DE0034" w:rsidP="00714F0C">
            <w:pPr>
              <w:snapToGrid w:val="0"/>
              <w:contextualSpacing/>
              <w:rPr>
                <w:rFonts w:cs="Segoe UI Historic"/>
                <w:sz w:val="20"/>
                <w:szCs w:val="20"/>
              </w:rPr>
            </w:pPr>
          </w:p>
        </w:tc>
        <w:tc>
          <w:tcPr>
            <w:tcW w:w="992" w:type="dxa"/>
            <w:tcBorders>
              <w:left w:val="nil"/>
              <w:right w:val="nil"/>
            </w:tcBorders>
          </w:tcPr>
          <w:p w14:paraId="29C13A44"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.W02</w:t>
            </w:r>
          </w:p>
        </w:tc>
        <w:tc>
          <w:tcPr>
            <w:tcW w:w="3544" w:type="dxa"/>
          </w:tcPr>
          <w:p w14:paraId="74E51605"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Beam Extraction System</w:t>
            </w:r>
          </w:p>
        </w:tc>
        <w:tc>
          <w:tcPr>
            <w:tcW w:w="1134" w:type="dxa"/>
          </w:tcPr>
          <w:p w14:paraId="138ABD6C" w14:textId="13E768F5" w:rsidR="00DE0034" w:rsidRPr="00B42ACA" w:rsidRDefault="009B478B" w:rsidP="00714F0C">
            <w:pPr>
              <w:snapToGrid w:val="0"/>
              <w:contextualSpacing/>
              <w:rPr>
                <w:rFonts w:cs="Segoe UI Historic"/>
                <w:sz w:val="20"/>
                <w:szCs w:val="20"/>
              </w:rPr>
            </w:pPr>
            <w:r>
              <w:rPr>
                <w:rFonts w:cs="Segoe UI Historic"/>
                <w:sz w:val="20"/>
                <w:szCs w:val="20"/>
              </w:rPr>
              <w:t>N/A</w:t>
            </w:r>
          </w:p>
        </w:tc>
        <w:tc>
          <w:tcPr>
            <w:tcW w:w="1300" w:type="dxa"/>
          </w:tcPr>
          <w:p w14:paraId="4C919899" w14:textId="4C56A9E5" w:rsidR="00DE0034" w:rsidRPr="00B42ACA" w:rsidRDefault="00CF4ECB" w:rsidP="00714F0C">
            <w:pPr>
              <w:snapToGrid w:val="0"/>
              <w:contextualSpacing/>
              <w:rPr>
                <w:rFonts w:cs="Segoe UI Historic"/>
                <w:sz w:val="20"/>
                <w:szCs w:val="20"/>
              </w:rPr>
            </w:pPr>
            <w:r w:rsidRPr="00B42ACA">
              <w:rPr>
                <w:rFonts w:cs="Segoe UI Historic"/>
                <w:sz w:val="20"/>
                <w:szCs w:val="20"/>
              </w:rPr>
              <w:t>N/A</w:t>
            </w:r>
          </w:p>
        </w:tc>
      </w:tr>
      <w:tr w:rsidR="00DE0034" w:rsidRPr="00B54E4A" w14:paraId="6177A70E" w14:textId="77777777" w:rsidTr="00782D86">
        <w:trPr>
          <w:trHeight w:val="20"/>
        </w:trPr>
        <w:tc>
          <w:tcPr>
            <w:tcW w:w="1985" w:type="dxa"/>
            <w:tcBorders>
              <w:right w:val="nil"/>
            </w:tcBorders>
            <w:shd w:val="clear" w:color="auto" w:fill="D9D9D9" w:themeFill="background1" w:themeFillShade="D9"/>
          </w:tcPr>
          <w:p w14:paraId="4A59C1F7" w14:textId="77777777" w:rsidR="00DE0034" w:rsidRPr="00B42ACA" w:rsidRDefault="00DE0034" w:rsidP="00714F0C">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70730907"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.A02</w:t>
            </w:r>
          </w:p>
        </w:tc>
        <w:tc>
          <w:tcPr>
            <w:tcW w:w="992" w:type="dxa"/>
            <w:tcBorders>
              <w:left w:val="nil"/>
              <w:right w:val="nil"/>
            </w:tcBorders>
            <w:shd w:val="clear" w:color="auto" w:fill="D9D9D9" w:themeFill="background1" w:themeFillShade="D9"/>
          </w:tcPr>
          <w:p w14:paraId="082E4BC1" w14:textId="77777777" w:rsidR="00DE0034" w:rsidRPr="00B42ACA" w:rsidRDefault="00DE0034" w:rsidP="00714F0C">
            <w:pPr>
              <w:snapToGrid w:val="0"/>
              <w:contextualSpacing/>
              <w:rPr>
                <w:rFonts w:cs="Segoe UI Historic"/>
                <w:sz w:val="20"/>
                <w:szCs w:val="20"/>
              </w:rPr>
            </w:pPr>
          </w:p>
        </w:tc>
        <w:tc>
          <w:tcPr>
            <w:tcW w:w="3544" w:type="dxa"/>
            <w:shd w:val="clear" w:color="auto" w:fill="D9D9D9" w:themeFill="background1" w:themeFillShade="D9"/>
          </w:tcPr>
          <w:p w14:paraId="731CE87A" w14:textId="77777777" w:rsidR="00DE0034" w:rsidRPr="00B42ACA" w:rsidRDefault="00DE0034" w:rsidP="00714F0C">
            <w:pPr>
              <w:snapToGrid w:val="0"/>
              <w:contextualSpacing/>
              <w:rPr>
                <w:rFonts w:cs="Segoe UI Historic"/>
                <w:sz w:val="20"/>
                <w:szCs w:val="20"/>
              </w:rPr>
            </w:pPr>
            <w:r w:rsidRPr="00B42ACA">
              <w:rPr>
                <w:rFonts w:cs="Segoe UI Historic"/>
                <w:sz w:val="20"/>
                <w:szCs w:val="20"/>
              </w:rPr>
              <w:t>Sample Exposure System</w:t>
            </w:r>
          </w:p>
        </w:tc>
        <w:tc>
          <w:tcPr>
            <w:tcW w:w="1134" w:type="dxa"/>
            <w:shd w:val="clear" w:color="auto" w:fill="D9D9D9" w:themeFill="background1" w:themeFillShade="D9"/>
          </w:tcPr>
          <w:p w14:paraId="370F8775" w14:textId="77777777" w:rsidR="00DE0034" w:rsidRPr="00B42ACA" w:rsidRDefault="00DE0034" w:rsidP="00714F0C">
            <w:pPr>
              <w:snapToGrid w:val="0"/>
              <w:contextualSpacing/>
              <w:rPr>
                <w:rFonts w:cs="Segoe UI Historic"/>
                <w:sz w:val="20"/>
                <w:szCs w:val="20"/>
              </w:rPr>
            </w:pPr>
          </w:p>
        </w:tc>
        <w:tc>
          <w:tcPr>
            <w:tcW w:w="1300" w:type="dxa"/>
            <w:shd w:val="clear" w:color="auto" w:fill="D9D9D9" w:themeFill="background1" w:themeFillShade="D9"/>
          </w:tcPr>
          <w:p w14:paraId="69CC6626" w14:textId="77777777" w:rsidR="00DE0034" w:rsidRPr="00B42ACA" w:rsidRDefault="00DE0034" w:rsidP="00714F0C">
            <w:pPr>
              <w:snapToGrid w:val="0"/>
              <w:contextualSpacing/>
              <w:rPr>
                <w:rFonts w:cs="Segoe UI Historic"/>
                <w:sz w:val="20"/>
                <w:szCs w:val="20"/>
              </w:rPr>
            </w:pPr>
          </w:p>
        </w:tc>
      </w:tr>
      <w:tr w:rsidR="00DE0034" w:rsidRPr="00B54E4A" w14:paraId="58450C69" w14:textId="77777777" w:rsidTr="00782D86">
        <w:trPr>
          <w:trHeight w:val="20"/>
        </w:trPr>
        <w:tc>
          <w:tcPr>
            <w:tcW w:w="1985" w:type="dxa"/>
            <w:tcBorders>
              <w:right w:val="nil"/>
            </w:tcBorders>
            <w:shd w:val="clear" w:color="auto" w:fill="FFFFFF" w:themeFill="background1"/>
          </w:tcPr>
          <w:p w14:paraId="14DAD22D" w14:textId="77777777" w:rsidR="00DE0034" w:rsidRPr="00B42ACA" w:rsidRDefault="00DE0034" w:rsidP="00DE0034">
            <w:pPr>
              <w:snapToGrid w:val="0"/>
              <w:contextualSpacing/>
              <w:jc w:val="right"/>
              <w:rPr>
                <w:rFonts w:cs="Segoe UI Historic"/>
                <w:sz w:val="20"/>
                <w:szCs w:val="20"/>
              </w:rPr>
            </w:pPr>
          </w:p>
        </w:tc>
        <w:tc>
          <w:tcPr>
            <w:tcW w:w="425" w:type="dxa"/>
            <w:tcBorders>
              <w:left w:val="nil"/>
              <w:right w:val="nil"/>
            </w:tcBorders>
            <w:shd w:val="clear" w:color="auto" w:fill="FFFFFF" w:themeFill="background1"/>
          </w:tcPr>
          <w:p w14:paraId="29BDB6E1" w14:textId="77777777" w:rsidR="00DE0034" w:rsidRPr="00B42ACA" w:rsidRDefault="00DE0034" w:rsidP="00DE0034">
            <w:pPr>
              <w:snapToGrid w:val="0"/>
              <w:contextualSpacing/>
              <w:rPr>
                <w:rFonts w:cs="Segoe UI Historic"/>
                <w:sz w:val="20"/>
                <w:szCs w:val="20"/>
              </w:rPr>
            </w:pPr>
          </w:p>
        </w:tc>
        <w:tc>
          <w:tcPr>
            <w:tcW w:w="992" w:type="dxa"/>
            <w:tcBorders>
              <w:left w:val="nil"/>
              <w:right w:val="nil"/>
            </w:tcBorders>
            <w:shd w:val="clear" w:color="auto" w:fill="FFFFFF" w:themeFill="background1"/>
          </w:tcPr>
          <w:p w14:paraId="6E1DA7DB" w14:textId="2397A119" w:rsidR="00DE0034" w:rsidRPr="00B42ACA" w:rsidRDefault="00DE0034" w:rsidP="00DE0034">
            <w:pPr>
              <w:snapToGrid w:val="0"/>
              <w:contextualSpacing/>
              <w:rPr>
                <w:rFonts w:cs="Segoe UI Historic"/>
                <w:sz w:val="20"/>
                <w:szCs w:val="20"/>
              </w:rPr>
            </w:pPr>
            <w:r w:rsidRPr="00B42ACA">
              <w:rPr>
                <w:rFonts w:cs="Segoe UI Historic"/>
                <w:sz w:val="20"/>
                <w:szCs w:val="20"/>
              </w:rPr>
              <w:t>.W01.W02</w:t>
            </w:r>
          </w:p>
        </w:tc>
        <w:tc>
          <w:tcPr>
            <w:tcW w:w="3544" w:type="dxa"/>
            <w:shd w:val="clear" w:color="auto" w:fill="FFFFFF" w:themeFill="background1"/>
          </w:tcPr>
          <w:p w14:paraId="02BD7FC3" w14:textId="6C045A00" w:rsidR="00DE0034" w:rsidRPr="00B42ACA" w:rsidRDefault="00DE0034" w:rsidP="00DE0034">
            <w:pPr>
              <w:snapToGrid w:val="0"/>
              <w:contextualSpacing/>
              <w:rPr>
                <w:rFonts w:cs="Segoe UI Historic"/>
                <w:sz w:val="20"/>
                <w:szCs w:val="20"/>
              </w:rPr>
            </w:pPr>
            <w:r w:rsidRPr="00B42ACA">
              <w:rPr>
                <w:rFonts w:cs="Segoe UI Historic"/>
                <w:color w:val="000000" w:themeColor="text1"/>
                <w:sz w:val="20"/>
                <w:szCs w:val="20"/>
              </w:rPr>
              <w:t>Rotational sample stack</w:t>
            </w:r>
          </w:p>
        </w:tc>
        <w:tc>
          <w:tcPr>
            <w:tcW w:w="1134" w:type="dxa"/>
            <w:shd w:val="clear" w:color="auto" w:fill="FFFFFF" w:themeFill="background1"/>
          </w:tcPr>
          <w:p w14:paraId="3ADB116A" w14:textId="5BF5733F" w:rsidR="00DE0034" w:rsidRPr="00B42ACA" w:rsidRDefault="009B478B" w:rsidP="00DE0034">
            <w:pPr>
              <w:snapToGrid w:val="0"/>
              <w:contextualSpacing/>
              <w:rPr>
                <w:rFonts w:cs="Segoe UI Historic"/>
                <w:sz w:val="20"/>
                <w:szCs w:val="20"/>
              </w:rPr>
            </w:pPr>
            <w:r w:rsidRPr="009B478B">
              <w:rPr>
                <w:rFonts w:cs="Segoe UI Historic"/>
                <w:sz w:val="20"/>
                <w:szCs w:val="20"/>
              </w:rPr>
              <w:t>ESS-5764655</w:t>
            </w:r>
          </w:p>
        </w:tc>
        <w:tc>
          <w:tcPr>
            <w:tcW w:w="1300" w:type="dxa"/>
            <w:shd w:val="clear" w:color="auto" w:fill="FFFFFF" w:themeFill="background1"/>
          </w:tcPr>
          <w:p w14:paraId="0137E47C" w14:textId="1A2D1B17" w:rsidR="00DE0034" w:rsidRPr="00B42ACA" w:rsidRDefault="00CF4ECB" w:rsidP="00DE0034">
            <w:pPr>
              <w:snapToGrid w:val="0"/>
              <w:contextualSpacing/>
              <w:rPr>
                <w:rFonts w:cs="Segoe UI Historic"/>
                <w:sz w:val="20"/>
                <w:szCs w:val="20"/>
              </w:rPr>
            </w:pPr>
            <w:hyperlink r:id="rId12" w:history="1">
              <w:r w:rsidRPr="002D34CC">
                <w:rPr>
                  <w:rStyle w:val="Hyperlink"/>
                  <w:rFonts w:cs="Segoe UI Historic"/>
                  <w:sz w:val="20"/>
                  <w:szCs w:val="20"/>
                </w:rPr>
                <w:t>ESS-5690169</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_Ref199935196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[10]</w:t>
            </w:r>
            <w:r w:rsidR="00782D86">
              <w:rPr>
                <w:rFonts w:cs="Segoe UI Historic"/>
                <w:color w:val="000000" w:themeColor="text1"/>
                <w:sz w:val="20"/>
                <w:szCs w:val="20"/>
              </w:rPr>
              <w:fldChar w:fldCharType="end"/>
            </w:r>
          </w:p>
        </w:tc>
      </w:tr>
      <w:tr w:rsidR="00DE0034" w:rsidRPr="00B54E4A" w14:paraId="14B9CBC0" w14:textId="77777777" w:rsidTr="00782D86">
        <w:trPr>
          <w:trHeight w:val="20"/>
        </w:trPr>
        <w:tc>
          <w:tcPr>
            <w:tcW w:w="1985" w:type="dxa"/>
            <w:tcBorders>
              <w:right w:val="nil"/>
            </w:tcBorders>
            <w:shd w:val="clear" w:color="auto" w:fill="FFFFFF" w:themeFill="background1"/>
          </w:tcPr>
          <w:p w14:paraId="6949C830" w14:textId="77777777" w:rsidR="00DE0034" w:rsidRPr="00B42ACA" w:rsidRDefault="00DE0034" w:rsidP="00DE0034">
            <w:pPr>
              <w:snapToGrid w:val="0"/>
              <w:contextualSpacing/>
              <w:jc w:val="right"/>
              <w:rPr>
                <w:rFonts w:cs="Segoe UI Historic"/>
                <w:sz w:val="20"/>
                <w:szCs w:val="20"/>
              </w:rPr>
            </w:pPr>
          </w:p>
        </w:tc>
        <w:tc>
          <w:tcPr>
            <w:tcW w:w="425" w:type="dxa"/>
            <w:tcBorders>
              <w:left w:val="nil"/>
              <w:right w:val="nil"/>
            </w:tcBorders>
            <w:shd w:val="clear" w:color="auto" w:fill="FFFFFF" w:themeFill="background1"/>
          </w:tcPr>
          <w:p w14:paraId="4E91B812" w14:textId="77777777" w:rsidR="00DE0034" w:rsidRPr="00B42ACA" w:rsidRDefault="00DE0034" w:rsidP="00DE0034">
            <w:pPr>
              <w:snapToGrid w:val="0"/>
              <w:contextualSpacing/>
              <w:rPr>
                <w:rFonts w:cs="Segoe UI Historic"/>
                <w:sz w:val="20"/>
                <w:szCs w:val="20"/>
              </w:rPr>
            </w:pPr>
          </w:p>
        </w:tc>
        <w:tc>
          <w:tcPr>
            <w:tcW w:w="992" w:type="dxa"/>
            <w:tcBorders>
              <w:left w:val="nil"/>
              <w:right w:val="nil"/>
            </w:tcBorders>
            <w:shd w:val="clear" w:color="auto" w:fill="FFFFFF" w:themeFill="background1"/>
          </w:tcPr>
          <w:p w14:paraId="474F7430" w14:textId="0B0C00CB" w:rsidR="00DE0034" w:rsidRPr="00B42ACA" w:rsidRDefault="00DE0034" w:rsidP="00DE0034">
            <w:pPr>
              <w:snapToGrid w:val="0"/>
              <w:contextualSpacing/>
              <w:rPr>
                <w:rFonts w:cs="Segoe UI Historic"/>
                <w:sz w:val="20"/>
                <w:szCs w:val="20"/>
              </w:rPr>
            </w:pPr>
            <w:r w:rsidRPr="00B42ACA">
              <w:rPr>
                <w:rFonts w:cs="Segoe UI Historic"/>
                <w:sz w:val="20"/>
                <w:szCs w:val="20"/>
              </w:rPr>
              <w:t>.W01.W01</w:t>
            </w:r>
          </w:p>
        </w:tc>
        <w:tc>
          <w:tcPr>
            <w:tcW w:w="3544" w:type="dxa"/>
            <w:shd w:val="clear" w:color="auto" w:fill="FFFFFF" w:themeFill="background1"/>
          </w:tcPr>
          <w:p w14:paraId="4E29339F" w14:textId="127808A1" w:rsidR="00DE0034" w:rsidRPr="00B42ACA" w:rsidRDefault="00DE0034" w:rsidP="00DE0034">
            <w:pPr>
              <w:snapToGrid w:val="0"/>
              <w:contextualSpacing/>
              <w:rPr>
                <w:rFonts w:cs="Segoe UI Historic"/>
                <w:sz w:val="20"/>
                <w:szCs w:val="20"/>
              </w:rPr>
            </w:pPr>
            <w:r w:rsidRPr="00B42ACA">
              <w:rPr>
                <w:rFonts w:cs="Segoe UI Historic"/>
                <w:sz w:val="20"/>
                <w:szCs w:val="20"/>
              </w:rPr>
              <w:t>2-circle goniometer</w:t>
            </w:r>
          </w:p>
        </w:tc>
        <w:tc>
          <w:tcPr>
            <w:tcW w:w="1134" w:type="dxa"/>
            <w:shd w:val="clear" w:color="auto" w:fill="FFFFFF" w:themeFill="background1"/>
          </w:tcPr>
          <w:p w14:paraId="1DAE40F7" w14:textId="38ADFD09" w:rsidR="00DE0034" w:rsidRPr="00B42ACA" w:rsidRDefault="009B478B" w:rsidP="00DE0034">
            <w:pPr>
              <w:snapToGrid w:val="0"/>
              <w:contextualSpacing/>
              <w:rPr>
                <w:rFonts w:cs="Segoe UI Historic"/>
                <w:sz w:val="20"/>
                <w:szCs w:val="20"/>
              </w:rPr>
            </w:pPr>
            <w:r w:rsidRPr="009B478B">
              <w:rPr>
                <w:rFonts w:cs="Segoe UI Historic"/>
                <w:sz w:val="20"/>
                <w:szCs w:val="20"/>
              </w:rPr>
              <w:t>ESS-5764655</w:t>
            </w:r>
          </w:p>
        </w:tc>
        <w:tc>
          <w:tcPr>
            <w:tcW w:w="1300" w:type="dxa"/>
            <w:shd w:val="clear" w:color="auto" w:fill="FFFFFF" w:themeFill="background1"/>
          </w:tcPr>
          <w:p w14:paraId="40FF1447" w14:textId="6C32BF1B" w:rsidR="00DE0034" w:rsidRPr="00B42ACA" w:rsidRDefault="002D34CC" w:rsidP="00DE0034">
            <w:pPr>
              <w:snapToGrid w:val="0"/>
              <w:contextualSpacing/>
              <w:rPr>
                <w:rFonts w:cs="Segoe UI Historic"/>
                <w:sz w:val="20"/>
                <w:szCs w:val="20"/>
              </w:rPr>
            </w:pPr>
            <w:hyperlink r:id="rId13" w:history="1">
              <w:r w:rsidRPr="002D34CC">
                <w:rPr>
                  <w:rStyle w:val="Hyperlink"/>
                  <w:rFonts w:cs="Segoe UI Historic"/>
                  <w:sz w:val="20"/>
                  <w:szCs w:val="20"/>
                </w:rPr>
                <w:t>ESS-5690169</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_Ref199935196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[10]</w:t>
            </w:r>
            <w:r w:rsidR="00782D86">
              <w:rPr>
                <w:rFonts w:cs="Segoe UI Historic"/>
                <w:color w:val="000000" w:themeColor="text1"/>
                <w:sz w:val="20"/>
                <w:szCs w:val="20"/>
              </w:rPr>
              <w:fldChar w:fldCharType="end"/>
            </w:r>
          </w:p>
        </w:tc>
      </w:tr>
      <w:tr w:rsidR="007500E0" w:rsidRPr="00B54E4A" w14:paraId="546B4F17" w14:textId="77777777" w:rsidTr="00782D86">
        <w:trPr>
          <w:trHeight w:val="20"/>
        </w:trPr>
        <w:tc>
          <w:tcPr>
            <w:tcW w:w="1985" w:type="dxa"/>
            <w:tcBorders>
              <w:right w:val="nil"/>
            </w:tcBorders>
            <w:shd w:val="clear" w:color="auto" w:fill="FFFFFF" w:themeFill="background1"/>
          </w:tcPr>
          <w:p w14:paraId="245ED361" w14:textId="77777777" w:rsidR="007500E0" w:rsidRPr="00B42ACA" w:rsidRDefault="007500E0" w:rsidP="00DE0034">
            <w:pPr>
              <w:snapToGrid w:val="0"/>
              <w:contextualSpacing/>
              <w:jc w:val="right"/>
              <w:rPr>
                <w:rFonts w:cs="Segoe UI Historic"/>
                <w:sz w:val="20"/>
                <w:szCs w:val="20"/>
              </w:rPr>
            </w:pPr>
          </w:p>
        </w:tc>
        <w:tc>
          <w:tcPr>
            <w:tcW w:w="425" w:type="dxa"/>
            <w:tcBorders>
              <w:left w:val="nil"/>
              <w:right w:val="nil"/>
            </w:tcBorders>
            <w:shd w:val="clear" w:color="auto" w:fill="FFFFFF" w:themeFill="background1"/>
          </w:tcPr>
          <w:p w14:paraId="64E0092D" w14:textId="77777777" w:rsidR="007500E0" w:rsidRPr="00B42ACA" w:rsidRDefault="007500E0" w:rsidP="00DE0034">
            <w:pPr>
              <w:snapToGrid w:val="0"/>
              <w:contextualSpacing/>
              <w:rPr>
                <w:rFonts w:cs="Segoe UI Historic"/>
                <w:sz w:val="20"/>
                <w:szCs w:val="20"/>
              </w:rPr>
            </w:pPr>
          </w:p>
        </w:tc>
        <w:tc>
          <w:tcPr>
            <w:tcW w:w="992" w:type="dxa"/>
            <w:tcBorders>
              <w:left w:val="nil"/>
              <w:right w:val="nil"/>
            </w:tcBorders>
            <w:shd w:val="clear" w:color="auto" w:fill="FFFFFF" w:themeFill="background1"/>
          </w:tcPr>
          <w:p w14:paraId="01CCF47E" w14:textId="4DC4F3DF" w:rsidR="007500E0" w:rsidRPr="00B42ACA" w:rsidRDefault="007500E0" w:rsidP="00DE0034">
            <w:pPr>
              <w:snapToGrid w:val="0"/>
              <w:contextualSpacing/>
              <w:rPr>
                <w:rFonts w:cs="Segoe UI Historic"/>
                <w:sz w:val="20"/>
                <w:szCs w:val="20"/>
              </w:rPr>
            </w:pPr>
            <w:r w:rsidRPr="00B42ACA">
              <w:rPr>
                <w:rFonts w:cs="Segoe UI Historic"/>
                <w:sz w:val="20"/>
                <w:szCs w:val="20"/>
              </w:rPr>
              <w:t>--</w:t>
            </w:r>
          </w:p>
        </w:tc>
        <w:tc>
          <w:tcPr>
            <w:tcW w:w="3544" w:type="dxa"/>
            <w:shd w:val="clear" w:color="auto" w:fill="FFFFFF" w:themeFill="background1"/>
          </w:tcPr>
          <w:p w14:paraId="2ECC43E4" w14:textId="2D9D0320" w:rsidR="007500E0" w:rsidRPr="00B42ACA" w:rsidRDefault="007500E0" w:rsidP="00DE0034">
            <w:pPr>
              <w:snapToGrid w:val="0"/>
              <w:contextualSpacing/>
              <w:rPr>
                <w:rFonts w:cs="Segoe UI Historic"/>
                <w:sz w:val="20"/>
                <w:szCs w:val="20"/>
              </w:rPr>
            </w:pPr>
            <w:r w:rsidRPr="00B42ACA">
              <w:rPr>
                <w:rFonts w:cs="Segoe UI Historic"/>
                <w:sz w:val="20"/>
                <w:szCs w:val="20"/>
              </w:rPr>
              <w:t>Sample environment</w:t>
            </w:r>
          </w:p>
        </w:tc>
        <w:tc>
          <w:tcPr>
            <w:tcW w:w="1134" w:type="dxa"/>
            <w:shd w:val="clear" w:color="auto" w:fill="FFFFFF" w:themeFill="background1"/>
          </w:tcPr>
          <w:p w14:paraId="6D554B8F" w14:textId="77885359" w:rsidR="007500E0" w:rsidRPr="00B42ACA" w:rsidRDefault="003574D3" w:rsidP="00DE0034">
            <w:pPr>
              <w:snapToGrid w:val="0"/>
              <w:contextualSpacing/>
              <w:rPr>
                <w:rFonts w:cs="Segoe UI Historic"/>
                <w:sz w:val="20"/>
                <w:szCs w:val="20"/>
              </w:rPr>
            </w:pPr>
            <w:r>
              <w:rPr>
                <w:rFonts w:cs="Segoe UI Historic"/>
                <w:sz w:val="20"/>
                <w:szCs w:val="20"/>
                <w:u w:val="single"/>
              </w:rPr>
              <w:t>E</w:t>
            </w:r>
            <w:r w:rsidRPr="003574D3">
              <w:rPr>
                <w:rFonts w:cs="Segoe UI Historic"/>
                <w:sz w:val="20"/>
                <w:szCs w:val="20"/>
                <w:u w:val="single"/>
              </w:rPr>
              <w:t>SS-5795924</w:t>
            </w:r>
          </w:p>
        </w:tc>
        <w:tc>
          <w:tcPr>
            <w:tcW w:w="1300" w:type="dxa"/>
            <w:shd w:val="clear" w:color="auto" w:fill="FFFFFF" w:themeFill="background1"/>
          </w:tcPr>
          <w:p w14:paraId="7C409399" w14:textId="1975D733" w:rsidR="007500E0" w:rsidRPr="00B42ACA" w:rsidRDefault="009B478B" w:rsidP="00DE0034">
            <w:pPr>
              <w:snapToGrid w:val="0"/>
              <w:contextualSpacing/>
              <w:rPr>
                <w:rFonts w:cs="Segoe UI Historic"/>
                <w:color w:val="000000" w:themeColor="text1"/>
                <w:sz w:val="20"/>
                <w:szCs w:val="20"/>
              </w:rPr>
            </w:pPr>
            <w:r>
              <w:rPr>
                <w:rFonts w:cs="Segoe UI Historic"/>
                <w:color w:val="000000" w:themeColor="text1"/>
                <w:sz w:val="20"/>
                <w:szCs w:val="20"/>
              </w:rPr>
              <w:t>E</w:t>
            </w:r>
            <w:hyperlink r:id="rId14" w:history="1">
              <w:r w:rsidRPr="009B478B">
                <w:rPr>
                  <w:rStyle w:val="Hyperlink"/>
                  <w:rFonts w:cs="Segoe UI Historic"/>
                  <w:sz w:val="20"/>
                  <w:szCs w:val="20"/>
                </w:rPr>
                <w:t>SS-5764650</w:t>
              </w:r>
            </w:hyperlink>
          </w:p>
        </w:tc>
      </w:tr>
      <w:tr w:rsidR="00DE0034" w:rsidRPr="00B54E4A" w14:paraId="7CA27C0B" w14:textId="77777777" w:rsidTr="00782D86">
        <w:trPr>
          <w:trHeight w:val="20"/>
        </w:trPr>
        <w:tc>
          <w:tcPr>
            <w:tcW w:w="1985" w:type="dxa"/>
            <w:tcBorders>
              <w:right w:val="nil"/>
            </w:tcBorders>
            <w:shd w:val="clear" w:color="auto" w:fill="D9D9D9" w:themeFill="background1" w:themeFillShade="D9"/>
          </w:tcPr>
          <w:p w14:paraId="4650A977" w14:textId="77777777" w:rsidR="00DE0034" w:rsidRPr="00B42ACA" w:rsidRDefault="00DE0034" w:rsidP="00DE0034">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1F820ADB" w14:textId="77777777" w:rsidR="00DE0034" w:rsidRPr="00B42ACA" w:rsidRDefault="00DE0034" w:rsidP="00DE0034">
            <w:pPr>
              <w:snapToGrid w:val="0"/>
              <w:contextualSpacing/>
              <w:rPr>
                <w:rFonts w:cs="Segoe UI Historic"/>
                <w:sz w:val="20"/>
                <w:szCs w:val="20"/>
              </w:rPr>
            </w:pPr>
            <w:r w:rsidRPr="00B42ACA">
              <w:rPr>
                <w:rFonts w:cs="Segoe UI Historic"/>
                <w:sz w:val="20"/>
                <w:szCs w:val="20"/>
              </w:rPr>
              <w:t>.A04</w:t>
            </w:r>
          </w:p>
        </w:tc>
        <w:tc>
          <w:tcPr>
            <w:tcW w:w="992" w:type="dxa"/>
            <w:tcBorders>
              <w:left w:val="nil"/>
              <w:right w:val="nil"/>
            </w:tcBorders>
            <w:shd w:val="clear" w:color="auto" w:fill="D9D9D9" w:themeFill="background1" w:themeFillShade="D9"/>
          </w:tcPr>
          <w:p w14:paraId="5AE7381E" w14:textId="77777777" w:rsidR="00DE0034" w:rsidRPr="00B42ACA" w:rsidRDefault="00DE0034" w:rsidP="00DE0034">
            <w:pPr>
              <w:snapToGrid w:val="0"/>
              <w:contextualSpacing/>
              <w:rPr>
                <w:rFonts w:cs="Segoe UI Historic"/>
                <w:sz w:val="20"/>
                <w:szCs w:val="20"/>
              </w:rPr>
            </w:pPr>
          </w:p>
        </w:tc>
        <w:tc>
          <w:tcPr>
            <w:tcW w:w="3544" w:type="dxa"/>
            <w:shd w:val="clear" w:color="auto" w:fill="D9D9D9" w:themeFill="background1" w:themeFillShade="D9"/>
          </w:tcPr>
          <w:p w14:paraId="7360B874" w14:textId="77777777" w:rsidR="00DE0034" w:rsidRPr="00B42ACA" w:rsidRDefault="00DE0034" w:rsidP="00DE0034">
            <w:pPr>
              <w:snapToGrid w:val="0"/>
              <w:contextualSpacing/>
              <w:rPr>
                <w:rFonts w:cs="Segoe UI Historic"/>
                <w:sz w:val="20"/>
                <w:szCs w:val="20"/>
              </w:rPr>
            </w:pPr>
            <w:r w:rsidRPr="00B42ACA">
              <w:rPr>
                <w:rFonts w:cs="Segoe UI Historic"/>
                <w:sz w:val="20"/>
                <w:szCs w:val="20"/>
              </w:rPr>
              <w:t>Support Systems</w:t>
            </w:r>
          </w:p>
        </w:tc>
        <w:tc>
          <w:tcPr>
            <w:tcW w:w="1134" w:type="dxa"/>
            <w:shd w:val="clear" w:color="auto" w:fill="D9D9D9" w:themeFill="background1" w:themeFillShade="D9"/>
          </w:tcPr>
          <w:p w14:paraId="60912703" w14:textId="2FB246B6" w:rsidR="00DE0034" w:rsidRPr="00B42ACA" w:rsidRDefault="009B478B" w:rsidP="00DE0034">
            <w:pPr>
              <w:snapToGrid w:val="0"/>
              <w:contextualSpacing/>
              <w:rPr>
                <w:rFonts w:cs="Segoe UI Historic"/>
                <w:sz w:val="20"/>
                <w:szCs w:val="20"/>
              </w:rPr>
            </w:pPr>
            <w:r>
              <w:rPr>
                <w:rFonts w:cs="Segoe UI Historic"/>
                <w:sz w:val="20"/>
                <w:szCs w:val="20"/>
              </w:rPr>
              <w:t>N/A</w:t>
            </w:r>
          </w:p>
        </w:tc>
        <w:tc>
          <w:tcPr>
            <w:tcW w:w="1300" w:type="dxa"/>
            <w:shd w:val="clear" w:color="auto" w:fill="D9D9D9" w:themeFill="background1" w:themeFillShade="D9"/>
          </w:tcPr>
          <w:p w14:paraId="3B927515" w14:textId="55F5E6C0" w:rsidR="00DE0034" w:rsidRPr="00B42ACA" w:rsidRDefault="009B478B" w:rsidP="00DE0034">
            <w:pPr>
              <w:snapToGrid w:val="0"/>
              <w:contextualSpacing/>
              <w:rPr>
                <w:rFonts w:cs="Segoe UI Historic"/>
                <w:sz w:val="20"/>
                <w:szCs w:val="20"/>
              </w:rPr>
            </w:pPr>
            <w:r>
              <w:rPr>
                <w:rFonts w:cs="Segoe UI Historic"/>
                <w:sz w:val="20"/>
                <w:szCs w:val="20"/>
              </w:rPr>
              <w:t>N/A</w:t>
            </w:r>
          </w:p>
        </w:tc>
      </w:tr>
      <w:tr w:rsidR="00DE0034" w:rsidRPr="00B54E4A" w14:paraId="4E9DCE7B" w14:textId="77777777" w:rsidTr="00782D86">
        <w:trPr>
          <w:trHeight w:val="20"/>
        </w:trPr>
        <w:tc>
          <w:tcPr>
            <w:tcW w:w="1985" w:type="dxa"/>
            <w:tcBorders>
              <w:right w:val="nil"/>
            </w:tcBorders>
            <w:shd w:val="clear" w:color="auto" w:fill="D9D9D9" w:themeFill="background1" w:themeFillShade="D9"/>
          </w:tcPr>
          <w:p w14:paraId="7C8F4CA6" w14:textId="77777777" w:rsidR="00DE0034" w:rsidRPr="00B42ACA" w:rsidRDefault="00DE0034" w:rsidP="00DE0034">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207C7E4F" w14:textId="77777777" w:rsidR="00DE0034" w:rsidRPr="00B42ACA" w:rsidRDefault="00DE0034" w:rsidP="00DE0034">
            <w:pPr>
              <w:snapToGrid w:val="0"/>
              <w:contextualSpacing/>
              <w:rPr>
                <w:rFonts w:cs="Segoe UI Historic"/>
                <w:sz w:val="20"/>
                <w:szCs w:val="20"/>
              </w:rPr>
            </w:pPr>
            <w:r w:rsidRPr="00B42ACA">
              <w:rPr>
                <w:rFonts w:cs="Segoe UI Historic"/>
                <w:sz w:val="20"/>
                <w:szCs w:val="20"/>
              </w:rPr>
              <w:t>.B01</w:t>
            </w:r>
          </w:p>
        </w:tc>
        <w:tc>
          <w:tcPr>
            <w:tcW w:w="992" w:type="dxa"/>
            <w:tcBorders>
              <w:left w:val="nil"/>
              <w:right w:val="nil"/>
            </w:tcBorders>
            <w:shd w:val="clear" w:color="auto" w:fill="D9D9D9" w:themeFill="background1" w:themeFillShade="D9"/>
          </w:tcPr>
          <w:p w14:paraId="630655DE" w14:textId="77777777" w:rsidR="00DE0034" w:rsidRPr="00B42ACA" w:rsidRDefault="00DE0034" w:rsidP="00DE0034">
            <w:pPr>
              <w:snapToGrid w:val="0"/>
              <w:contextualSpacing/>
              <w:rPr>
                <w:rFonts w:cs="Segoe UI Historic"/>
                <w:sz w:val="20"/>
                <w:szCs w:val="20"/>
              </w:rPr>
            </w:pPr>
          </w:p>
        </w:tc>
        <w:tc>
          <w:tcPr>
            <w:tcW w:w="3544" w:type="dxa"/>
            <w:shd w:val="clear" w:color="auto" w:fill="D9D9D9" w:themeFill="background1" w:themeFillShade="D9"/>
          </w:tcPr>
          <w:p w14:paraId="05191632" w14:textId="77777777" w:rsidR="00DE0034" w:rsidRPr="00B42ACA" w:rsidRDefault="00DE0034" w:rsidP="00DE0034">
            <w:pPr>
              <w:snapToGrid w:val="0"/>
              <w:contextualSpacing/>
              <w:rPr>
                <w:rFonts w:cs="Segoe UI Historic"/>
                <w:sz w:val="20"/>
                <w:szCs w:val="20"/>
              </w:rPr>
            </w:pPr>
            <w:r w:rsidRPr="00B42ACA">
              <w:rPr>
                <w:rFonts w:cs="Segoe UI Historic"/>
                <w:sz w:val="20"/>
                <w:szCs w:val="20"/>
              </w:rPr>
              <w:t>Scattering Characterisation System </w:t>
            </w:r>
          </w:p>
        </w:tc>
        <w:tc>
          <w:tcPr>
            <w:tcW w:w="1134" w:type="dxa"/>
            <w:shd w:val="clear" w:color="auto" w:fill="D9D9D9" w:themeFill="background1" w:themeFillShade="D9"/>
          </w:tcPr>
          <w:p w14:paraId="2E7528E6" w14:textId="654F876F" w:rsidR="00DE0034" w:rsidRPr="00B42ACA" w:rsidRDefault="009B478B" w:rsidP="00DE0034">
            <w:pPr>
              <w:snapToGrid w:val="0"/>
              <w:contextualSpacing/>
              <w:rPr>
                <w:rFonts w:cs="Segoe UI Historic"/>
                <w:sz w:val="20"/>
                <w:szCs w:val="20"/>
              </w:rPr>
            </w:pPr>
            <w:r>
              <w:rPr>
                <w:rFonts w:cs="Segoe UI Historic"/>
                <w:sz w:val="20"/>
                <w:szCs w:val="20"/>
              </w:rPr>
              <w:t>N/A</w:t>
            </w:r>
          </w:p>
        </w:tc>
        <w:tc>
          <w:tcPr>
            <w:tcW w:w="1300" w:type="dxa"/>
            <w:shd w:val="clear" w:color="auto" w:fill="D9D9D9" w:themeFill="background1" w:themeFillShade="D9"/>
          </w:tcPr>
          <w:p w14:paraId="5FAEC3E3" w14:textId="370BACEE" w:rsidR="00DE0034" w:rsidRPr="00B42ACA" w:rsidRDefault="009B478B" w:rsidP="00DE0034">
            <w:pPr>
              <w:snapToGrid w:val="0"/>
              <w:contextualSpacing/>
              <w:rPr>
                <w:rFonts w:cs="Segoe UI Historic"/>
                <w:sz w:val="20"/>
                <w:szCs w:val="20"/>
              </w:rPr>
            </w:pPr>
            <w:r>
              <w:rPr>
                <w:rFonts w:cs="Segoe UI Historic"/>
                <w:sz w:val="20"/>
                <w:szCs w:val="20"/>
              </w:rPr>
              <w:t>N/A</w:t>
            </w:r>
          </w:p>
        </w:tc>
      </w:tr>
      <w:tr w:rsidR="00DE0034" w:rsidRPr="00B54E4A" w14:paraId="1CE5BAD2" w14:textId="77777777" w:rsidTr="00782D86">
        <w:trPr>
          <w:trHeight w:val="20"/>
        </w:trPr>
        <w:tc>
          <w:tcPr>
            <w:tcW w:w="1985" w:type="dxa"/>
            <w:tcBorders>
              <w:right w:val="nil"/>
            </w:tcBorders>
            <w:shd w:val="clear" w:color="auto" w:fill="FFFFFF" w:themeFill="background1"/>
          </w:tcPr>
          <w:p w14:paraId="3A157457" w14:textId="77777777" w:rsidR="00DE0034" w:rsidRPr="00B42ACA" w:rsidRDefault="00DE0034" w:rsidP="00DE0034">
            <w:pPr>
              <w:snapToGrid w:val="0"/>
              <w:contextualSpacing/>
              <w:jc w:val="right"/>
              <w:rPr>
                <w:rFonts w:cs="Segoe UI Historic"/>
                <w:color w:val="FFFFFF" w:themeColor="background1"/>
                <w:sz w:val="20"/>
                <w:szCs w:val="20"/>
              </w:rPr>
            </w:pPr>
          </w:p>
        </w:tc>
        <w:tc>
          <w:tcPr>
            <w:tcW w:w="425" w:type="dxa"/>
            <w:tcBorders>
              <w:left w:val="nil"/>
              <w:right w:val="nil"/>
            </w:tcBorders>
            <w:shd w:val="clear" w:color="auto" w:fill="FFFFFF" w:themeFill="background1"/>
          </w:tcPr>
          <w:p w14:paraId="641CF802" w14:textId="77777777" w:rsidR="00DE0034" w:rsidRPr="00B42ACA" w:rsidRDefault="00DE0034" w:rsidP="00DE0034">
            <w:pPr>
              <w:snapToGrid w:val="0"/>
              <w:contextualSpacing/>
              <w:rPr>
                <w:rFonts w:cs="Segoe UI Historic"/>
                <w:color w:val="FFFFFF" w:themeColor="background1"/>
                <w:sz w:val="20"/>
                <w:szCs w:val="20"/>
              </w:rPr>
            </w:pPr>
          </w:p>
        </w:tc>
        <w:tc>
          <w:tcPr>
            <w:tcW w:w="992" w:type="dxa"/>
            <w:tcBorders>
              <w:left w:val="nil"/>
              <w:right w:val="nil"/>
            </w:tcBorders>
            <w:shd w:val="clear" w:color="auto" w:fill="FFFFFF" w:themeFill="background1"/>
          </w:tcPr>
          <w:p w14:paraId="46634CBA" w14:textId="372B4C21" w:rsidR="00DE0034" w:rsidRPr="00B42ACA" w:rsidRDefault="00DE0034" w:rsidP="00DE0034">
            <w:pPr>
              <w:snapToGrid w:val="0"/>
              <w:contextualSpacing/>
              <w:rPr>
                <w:rFonts w:cs="Segoe UI Historic"/>
                <w:color w:val="FFFFFF" w:themeColor="background1"/>
                <w:sz w:val="20"/>
                <w:szCs w:val="20"/>
              </w:rPr>
            </w:pPr>
            <w:r w:rsidRPr="00B42ACA">
              <w:rPr>
                <w:rFonts w:cs="Segoe UI Historic"/>
                <w:sz w:val="20"/>
                <w:szCs w:val="20"/>
              </w:rPr>
              <w:t>.B01</w:t>
            </w:r>
          </w:p>
        </w:tc>
        <w:tc>
          <w:tcPr>
            <w:tcW w:w="3544" w:type="dxa"/>
            <w:shd w:val="clear" w:color="auto" w:fill="FFFFFF" w:themeFill="background1"/>
          </w:tcPr>
          <w:p w14:paraId="6A8359E7" w14:textId="069CF7E1" w:rsidR="00DE0034" w:rsidRPr="00B42ACA" w:rsidRDefault="00DE0034" w:rsidP="00DE0034">
            <w:pPr>
              <w:snapToGrid w:val="0"/>
              <w:contextualSpacing/>
              <w:rPr>
                <w:rFonts w:cs="Segoe UI Historic"/>
                <w:color w:val="000000" w:themeColor="text1"/>
                <w:sz w:val="20"/>
                <w:szCs w:val="20"/>
              </w:rPr>
            </w:pPr>
            <w:r w:rsidRPr="00B42ACA">
              <w:rPr>
                <w:rFonts w:cs="Segoe UI Historic"/>
                <w:color w:val="000000" w:themeColor="text1"/>
                <w:sz w:val="20"/>
                <w:szCs w:val="20"/>
              </w:rPr>
              <w:t>Neutron Detector System</w:t>
            </w:r>
          </w:p>
        </w:tc>
        <w:tc>
          <w:tcPr>
            <w:tcW w:w="1134" w:type="dxa"/>
            <w:shd w:val="clear" w:color="auto" w:fill="FFFFFF" w:themeFill="background1"/>
          </w:tcPr>
          <w:p w14:paraId="4C1CE70E" w14:textId="0CC839F8" w:rsidR="00DE0034" w:rsidRPr="00B42ACA" w:rsidRDefault="003574D3" w:rsidP="00DE0034">
            <w:pPr>
              <w:snapToGrid w:val="0"/>
              <w:contextualSpacing/>
              <w:rPr>
                <w:rFonts w:cs="Segoe UI Historic"/>
                <w:color w:val="FFFFFF" w:themeColor="background1"/>
                <w:sz w:val="20"/>
                <w:szCs w:val="20"/>
              </w:rPr>
            </w:pPr>
            <w:hyperlink r:id="rId15" w:history="1">
              <w:r w:rsidRPr="003574D3">
                <w:rPr>
                  <w:rStyle w:val="Hyperlink"/>
                  <w:rFonts w:cs="Segoe UI Historic"/>
                  <w:sz w:val="20"/>
                  <w:szCs w:val="20"/>
                </w:rPr>
                <w:t>ESS-5704822</w:t>
              </w:r>
            </w:hyperlink>
          </w:p>
        </w:tc>
        <w:tc>
          <w:tcPr>
            <w:tcW w:w="1300" w:type="dxa"/>
            <w:shd w:val="clear" w:color="auto" w:fill="FFFFFF" w:themeFill="background1"/>
          </w:tcPr>
          <w:p w14:paraId="0BD8F2C2" w14:textId="16976EDC" w:rsidR="00DE0034" w:rsidRPr="00B42ACA" w:rsidRDefault="00D0786F" w:rsidP="00DE0034">
            <w:pPr>
              <w:snapToGrid w:val="0"/>
              <w:contextualSpacing/>
              <w:rPr>
                <w:rFonts w:cs="Segoe UI Historic"/>
                <w:color w:val="000000" w:themeColor="text1"/>
                <w:sz w:val="20"/>
                <w:szCs w:val="20"/>
              </w:rPr>
            </w:pPr>
            <w:hyperlink r:id="rId16" w:history="1">
              <w:r w:rsidRPr="00D0786F">
                <w:rPr>
                  <w:rStyle w:val="Hyperlink"/>
                  <w:rFonts w:cs="Segoe UI Historic"/>
                  <w:sz w:val="20"/>
                  <w:szCs w:val="20"/>
                </w:rPr>
                <w:t>ESS-5637422</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_Ref199935233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[11]</w:t>
            </w:r>
            <w:r w:rsidR="00782D86">
              <w:rPr>
                <w:rFonts w:cs="Segoe UI Historic"/>
                <w:color w:val="000000" w:themeColor="text1"/>
                <w:sz w:val="20"/>
                <w:szCs w:val="20"/>
              </w:rPr>
              <w:fldChar w:fldCharType="end"/>
            </w:r>
          </w:p>
        </w:tc>
      </w:tr>
      <w:tr w:rsidR="00CF4ECB" w:rsidRPr="00B54E4A" w14:paraId="0C3B49B2" w14:textId="77777777" w:rsidTr="00782D86">
        <w:trPr>
          <w:trHeight w:val="20"/>
        </w:trPr>
        <w:tc>
          <w:tcPr>
            <w:tcW w:w="1985" w:type="dxa"/>
            <w:tcBorders>
              <w:right w:val="nil"/>
            </w:tcBorders>
            <w:shd w:val="clear" w:color="auto" w:fill="FFFFFF" w:themeFill="background1"/>
          </w:tcPr>
          <w:p w14:paraId="2BF4DA46" w14:textId="77777777" w:rsidR="00CF4ECB" w:rsidRPr="00B42ACA" w:rsidRDefault="00CF4ECB" w:rsidP="00CF4ECB">
            <w:pPr>
              <w:snapToGrid w:val="0"/>
              <w:contextualSpacing/>
              <w:jc w:val="right"/>
              <w:rPr>
                <w:rFonts w:cs="Segoe UI Historic"/>
                <w:color w:val="FFFFFF" w:themeColor="background1"/>
                <w:sz w:val="20"/>
                <w:szCs w:val="20"/>
              </w:rPr>
            </w:pPr>
          </w:p>
        </w:tc>
        <w:tc>
          <w:tcPr>
            <w:tcW w:w="425" w:type="dxa"/>
            <w:tcBorders>
              <w:left w:val="nil"/>
              <w:right w:val="nil"/>
            </w:tcBorders>
            <w:shd w:val="clear" w:color="auto" w:fill="FFFFFF" w:themeFill="background1"/>
          </w:tcPr>
          <w:p w14:paraId="6B66758F" w14:textId="77777777" w:rsidR="00CF4ECB" w:rsidRPr="00B42ACA" w:rsidRDefault="00CF4ECB" w:rsidP="00CF4ECB">
            <w:pPr>
              <w:snapToGrid w:val="0"/>
              <w:contextualSpacing/>
              <w:rPr>
                <w:rFonts w:cs="Segoe UI Historic"/>
                <w:color w:val="FFFFFF" w:themeColor="background1"/>
                <w:sz w:val="20"/>
                <w:szCs w:val="20"/>
              </w:rPr>
            </w:pPr>
          </w:p>
        </w:tc>
        <w:tc>
          <w:tcPr>
            <w:tcW w:w="992" w:type="dxa"/>
            <w:tcBorders>
              <w:left w:val="nil"/>
              <w:right w:val="nil"/>
            </w:tcBorders>
            <w:shd w:val="clear" w:color="auto" w:fill="FFFFFF" w:themeFill="background1"/>
          </w:tcPr>
          <w:p w14:paraId="54B8EFC0" w14:textId="63F3219E" w:rsidR="00CF4ECB" w:rsidRPr="00B42ACA" w:rsidRDefault="00CF4ECB" w:rsidP="00CF4ECB">
            <w:pPr>
              <w:snapToGrid w:val="0"/>
              <w:contextualSpacing/>
              <w:rPr>
                <w:rFonts w:cs="Segoe UI Historic"/>
                <w:color w:val="FFFFFF" w:themeColor="background1"/>
                <w:sz w:val="20"/>
                <w:szCs w:val="20"/>
              </w:rPr>
            </w:pPr>
            <w:r w:rsidRPr="00B42ACA">
              <w:rPr>
                <w:rFonts w:cs="Segoe UI Historic"/>
                <w:sz w:val="20"/>
                <w:szCs w:val="20"/>
              </w:rPr>
              <w:t xml:space="preserve">.C01 </w:t>
            </w:r>
          </w:p>
        </w:tc>
        <w:tc>
          <w:tcPr>
            <w:tcW w:w="3544" w:type="dxa"/>
            <w:shd w:val="clear" w:color="auto" w:fill="FFFFFF" w:themeFill="background1"/>
          </w:tcPr>
          <w:p w14:paraId="55D27BE1" w14:textId="0C2853FD" w:rsidR="00CF4ECB" w:rsidRPr="00B42ACA" w:rsidRDefault="00CF4ECB" w:rsidP="00CF4ECB">
            <w:pPr>
              <w:snapToGrid w:val="0"/>
              <w:contextualSpacing/>
              <w:rPr>
                <w:rFonts w:cs="Segoe UI Historic"/>
                <w:color w:val="000000" w:themeColor="text1"/>
                <w:sz w:val="20"/>
                <w:szCs w:val="20"/>
              </w:rPr>
            </w:pPr>
            <w:r w:rsidRPr="00B42ACA">
              <w:rPr>
                <w:rFonts w:cs="Segoe UI Historic"/>
                <w:color w:val="000000" w:themeColor="text1"/>
                <w:sz w:val="20"/>
                <w:szCs w:val="20"/>
              </w:rPr>
              <w:t>Neutron Detector Electronics</w:t>
            </w:r>
          </w:p>
        </w:tc>
        <w:tc>
          <w:tcPr>
            <w:tcW w:w="1134" w:type="dxa"/>
            <w:shd w:val="clear" w:color="auto" w:fill="FFFFFF" w:themeFill="background1"/>
          </w:tcPr>
          <w:p w14:paraId="06E74C7F" w14:textId="4D894F6C" w:rsidR="00CF4ECB" w:rsidRPr="00B42ACA" w:rsidRDefault="003574D3" w:rsidP="00CF4ECB">
            <w:pPr>
              <w:snapToGrid w:val="0"/>
              <w:contextualSpacing/>
              <w:rPr>
                <w:rFonts w:cs="Segoe UI Historic"/>
                <w:color w:val="FFFFFF" w:themeColor="background1"/>
                <w:sz w:val="20"/>
                <w:szCs w:val="20"/>
              </w:rPr>
            </w:pPr>
            <w:hyperlink r:id="rId17" w:history="1">
              <w:r w:rsidRPr="003574D3">
                <w:rPr>
                  <w:rStyle w:val="Hyperlink"/>
                  <w:rFonts w:cs="Segoe UI Historic"/>
                  <w:sz w:val="20"/>
                  <w:szCs w:val="20"/>
                </w:rPr>
                <w:t>ESS-5704822</w:t>
              </w:r>
            </w:hyperlink>
          </w:p>
        </w:tc>
        <w:tc>
          <w:tcPr>
            <w:tcW w:w="1300" w:type="dxa"/>
            <w:shd w:val="clear" w:color="auto" w:fill="FFFFFF" w:themeFill="background1"/>
          </w:tcPr>
          <w:p w14:paraId="726E4ADF" w14:textId="299917D6" w:rsidR="00CF4ECB" w:rsidRPr="00B42ACA" w:rsidRDefault="00CF4ECB" w:rsidP="00CF4ECB">
            <w:pPr>
              <w:snapToGrid w:val="0"/>
              <w:contextualSpacing/>
              <w:rPr>
                <w:rFonts w:cs="Segoe UI Historic"/>
                <w:color w:val="FFFFFF" w:themeColor="background1"/>
                <w:sz w:val="20"/>
                <w:szCs w:val="20"/>
              </w:rPr>
            </w:pPr>
            <w:hyperlink r:id="rId18" w:history="1">
              <w:r w:rsidRPr="00D0786F">
                <w:rPr>
                  <w:rStyle w:val="Hyperlink"/>
                  <w:rFonts w:cs="Segoe UI Historic"/>
                  <w:sz w:val="20"/>
                  <w:szCs w:val="20"/>
                </w:rPr>
                <w:t>ESS-5637422</w:t>
              </w:r>
            </w:hyperlink>
            <w:r w:rsidR="00782D86">
              <w:rPr>
                <w:rFonts w:cs="Segoe UI Historic"/>
                <w:color w:val="000000" w:themeColor="text1"/>
                <w:sz w:val="20"/>
                <w:szCs w:val="20"/>
              </w:rPr>
              <w:t xml:space="preserve"> </w:t>
            </w:r>
            <w:r w:rsidR="00782D86">
              <w:rPr>
                <w:rFonts w:cs="Segoe UI Historic"/>
                <w:color w:val="000000" w:themeColor="text1"/>
                <w:sz w:val="20"/>
                <w:szCs w:val="20"/>
              </w:rPr>
              <w:fldChar w:fldCharType="begin"/>
            </w:r>
            <w:r w:rsidR="00782D86">
              <w:rPr>
                <w:rFonts w:cs="Segoe UI Historic"/>
                <w:color w:val="000000" w:themeColor="text1"/>
                <w:sz w:val="20"/>
                <w:szCs w:val="20"/>
              </w:rPr>
              <w:instrText xml:space="preserve"> REF _Ref199935233 \w \h </w:instrText>
            </w:r>
            <w:r w:rsidR="00782D86">
              <w:rPr>
                <w:rFonts w:cs="Segoe UI Historic"/>
                <w:color w:val="000000" w:themeColor="text1"/>
                <w:sz w:val="20"/>
                <w:szCs w:val="20"/>
              </w:rPr>
            </w:r>
            <w:r w:rsidR="00782D86">
              <w:rPr>
                <w:rFonts w:cs="Segoe UI Historic"/>
                <w:color w:val="000000" w:themeColor="text1"/>
                <w:sz w:val="20"/>
                <w:szCs w:val="20"/>
              </w:rPr>
              <w:fldChar w:fldCharType="separate"/>
            </w:r>
            <w:r w:rsidR="00782D86">
              <w:rPr>
                <w:rFonts w:cs="Segoe UI Historic"/>
                <w:color w:val="000000" w:themeColor="text1"/>
                <w:sz w:val="20"/>
                <w:szCs w:val="20"/>
              </w:rPr>
              <w:t>[11]</w:t>
            </w:r>
            <w:r w:rsidR="00782D86">
              <w:rPr>
                <w:rFonts w:cs="Segoe UI Historic"/>
                <w:color w:val="000000" w:themeColor="text1"/>
                <w:sz w:val="20"/>
                <w:szCs w:val="20"/>
              </w:rPr>
              <w:fldChar w:fldCharType="end"/>
            </w:r>
          </w:p>
        </w:tc>
      </w:tr>
      <w:tr w:rsidR="009B478B" w:rsidRPr="00B54E4A" w14:paraId="4A4B53FF" w14:textId="77777777" w:rsidTr="00782D86">
        <w:trPr>
          <w:trHeight w:val="20"/>
        </w:trPr>
        <w:tc>
          <w:tcPr>
            <w:tcW w:w="1985" w:type="dxa"/>
            <w:tcBorders>
              <w:right w:val="nil"/>
            </w:tcBorders>
            <w:shd w:val="clear" w:color="auto" w:fill="FFFFFF" w:themeFill="background1"/>
          </w:tcPr>
          <w:p w14:paraId="4A40BC88" w14:textId="77777777" w:rsidR="009B478B" w:rsidRPr="00B42ACA" w:rsidRDefault="009B478B" w:rsidP="009B478B">
            <w:pPr>
              <w:snapToGrid w:val="0"/>
              <w:contextualSpacing/>
              <w:jc w:val="right"/>
              <w:rPr>
                <w:rFonts w:cs="Segoe UI Historic"/>
                <w:color w:val="FFFFFF" w:themeColor="background1"/>
                <w:sz w:val="20"/>
                <w:szCs w:val="20"/>
              </w:rPr>
            </w:pPr>
          </w:p>
        </w:tc>
        <w:tc>
          <w:tcPr>
            <w:tcW w:w="425" w:type="dxa"/>
            <w:tcBorders>
              <w:left w:val="nil"/>
              <w:right w:val="nil"/>
            </w:tcBorders>
            <w:shd w:val="clear" w:color="auto" w:fill="FFFFFF" w:themeFill="background1"/>
          </w:tcPr>
          <w:p w14:paraId="308D8B84" w14:textId="77777777" w:rsidR="009B478B" w:rsidRPr="00B42ACA" w:rsidRDefault="009B478B" w:rsidP="009B478B">
            <w:pPr>
              <w:snapToGrid w:val="0"/>
              <w:contextualSpacing/>
              <w:rPr>
                <w:rFonts w:cs="Segoe UI Historic"/>
                <w:color w:val="000000" w:themeColor="text1"/>
                <w:sz w:val="20"/>
                <w:szCs w:val="20"/>
              </w:rPr>
            </w:pPr>
          </w:p>
        </w:tc>
        <w:tc>
          <w:tcPr>
            <w:tcW w:w="992" w:type="dxa"/>
            <w:tcBorders>
              <w:left w:val="nil"/>
              <w:right w:val="nil"/>
            </w:tcBorders>
            <w:shd w:val="clear" w:color="auto" w:fill="FFFFFF" w:themeFill="background1"/>
          </w:tcPr>
          <w:p w14:paraId="412E2630" w14:textId="6640C97E" w:rsidR="009B478B" w:rsidRPr="00B42ACA" w:rsidRDefault="009B478B" w:rsidP="009B478B">
            <w:pPr>
              <w:snapToGrid w:val="0"/>
              <w:contextualSpacing/>
              <w:rPr>
                <w:rFonts w:cs="Segoe UI Historic"/>
                <w:color w:val="000000" w:themeColor="text1"/>
                <w:sz w:val="20"/>
                <w:szCs w:val="20"/>
              </w:rPr>
            </w:pPr>
            <w:r w:rsidRPr="00B42ACA">
              <w:rPr>
                <w:rFonts w:cs="Segoe UI Historic"/>
                <w:color w:val="000000" w:themeColor="text1"/>
                <w:sz w:val="20"/>
                <w:szCs w:val="20"/>
              </w:rPr>
              <w:t>.W</w:t>
            </w:r>
            <w:r w:rsidRPr="00B42ACA">
              <w:rPr>
                <w:rFonts w:cs="Segoe UI Historic"/>
                <w:color w:val="000000" w:themeColor="text1"/>
                <w:sz w:val="20"/>
                <w:szCs w:val="20"/>
                <w:shd w:val="clear" w:color="auto" w:fill="FFFFFF" w:themeFill="background1"/>
              </w:rPr>
              <w:t>01</w:t>
            </w:r>
          </w:p>
        </w:tc>
        <w:tc>
          <w:tcPr>
            <w:tcW w:w="3544" w:type="dxa"/>
            <w:shd w:val="clear" w:color="auto" w:fill="FFFFFF" w:themeFill="background1"/>
          </w:tcPr>
          <w:p w14:paraId="227BD41C" w14:textId="50F2C8E4" w:rsidR="009B478B" w:rsidRPr="00B42ACA" w:rsidRDefault="009B478B" w:rsidP="009B478B">
            <w:pPr>
              <w:snapToGrid w:val="0"/>
              <w:contextualSpacing/>
              <w:rPr>
                <w:rFonts w:cs="Segoe UI Historic"/>
                <w:color w:val="000000" w:themeColor="text1"/>
                <w:sz w:val="20"/>
                <w:szCs w:val="20"/>
              </w:rPr>
            </w:pPr>
            <w:r w:rsidRPr="00B42ACA">
              <w:rPr>
                <w:rFonts w:cs="Segoe UI Historic"/>
                <w:color w:val="000000" w:themeColor="text1"/>
                <w:sz w:val="20"/>
                <w:szCs w:val="20"/>
              </w:rPr>
              <w:t>Detector tank motion carriage</w:t>
            </w:r>
          </w:p>
        </w:tc>
        <w:tc>
          <w:tcPr>
            <w:tcW w:w="1134" w:type="dxa"/>
            <w:shd w:val="clear" w:color="auto" w:fill="FFFFFF" w:themeFill="background1"/>
          </w:tcPr>
          <w:p w14:paraId="0384F364" w14:textId="34D7D118" w:rsidR="009B478B" w:rsidRPr="00B42ACA" w:rsidRDefault="009B478B" w:rsidP="009B478B">
            <w:pPr>
              <w:snapToGrid w:val="0"/>
              <w:contextualSpacing/>
              <w:rPr>
                <w:rFonts w:cs="Segoe UI Historic"/>
                <w:color w:val="FFFFFF" w:themeColor="background1"/>
                <w:sz w:val="20"/>
                <w:szCs w:val="20"/>
              </w:rPr>
            </w:pPr>
            <w:r w:rsidRPr="009B478B">
              <w:rPr>
                <w:rFonts w:cs="Segoe UI Historic"/>
                <w:sz w:val="20"/>
                <w:szCs w:val="20"/>
              </w:rPr>
              <w:t>ESS-5764655</w:t>
            </w:r>
          </w:p>
        </w:tc>
        <w:tc>
          <w:tcPr>
            <w:tcW w:w="1300" w:type="dxa"/>
            <w:shd w:val="clear" w:color="auto" w:fill="FFFFFF" w:themeFill="background1"/>
          </w:tcPr>
          <w:p w14:paraId="1E7A062B" w14:textId="23A47DA5" w:rsidR="009B478B" w:rsidRPr="00B42ACA" w:rsidRDefault="009B478B" w:rsidP="009B478B">
            <w:pPr>
              <w:snapToGrid w:val="0"/>
              <w:contextualSpacing/>
              <w:rPr>
                <w:rFonts w:cs="Segoe UI Historic"/>
                <w:color w:val="FFFFFF" w:themeColor="background1"/>
                <w:sz w:val="20"/>
                <w:szCs w:val="20"/>
              </w:rPr>
            </w:pPr>
            <w:hyperlink r:id="rId19" w:history="1">
              <w:r w:rsidRPr="002D34CC">
                <w:rPr>
                  <w:rStyle w:val="Hyperlink"/>
                  <w:rFonts w:cs="Segoe UI Historic"/>
                  <w:sz w:val="20"/>
                  <w:szCs w:val="20"/>
                </w:rPr>
                <w:t>ESS-5690169</w:t>
              </w:r>
            </w:hyperlink>
            <w:r>
              <w:rPr>
                <w:rFonts w:cs="Segoe UI Historic"/>
                <w:color w:val="000000" w:themeColor="text1"/>
                <w:sz w:val="20"/>
                <w:szCs w:val="20"/>
              </w:rPr>
              <w:t xml:space="preserve"> </w:t>
            </w:r>
            <w:r>
              <w:rPr>
                <w:rFonts w:cs="Segoe UI Historic"/>
                <w:color w:val="000000" w:themeColor="text1"/>
                <w:sz w:val="20"/>
                <w:szCs w:val="20"/>
              </w:rPr>
              <w:fldChar w:fldCharType="begin"/>
            </w:r>
            <w:r>
              <w:rPr>
                <w:rFonts w:cs="Segoe UI Historic"/>
                <w:color w:val="000000" w:themeColor="text1"/>
                <w:sz w:val="20"/>
                <w:szCs w:val="20"/>
              </w:rPr>
              <w:instrText xml:space="preserve"> REF _Ref199935196 \w \h </w:instrText>
            </w:r>
            <w:r>
              <w:rPr>
                <w:rFonts w:cs="Segoe UI Historic"/>
                <w:color w:val="000000" w:themeColor="text1"/>
                <w:sz w:val="20"/>
                <w:szCs w:val="20"/>
              </w:rPr>
            </w:r>
            <w:r>
              <w:rPr>
                <w:rFonts w:cs="Segoe UI Historic"/>
                <w:color w:val="000000" w:themeColor="text1"/>
                <w:sz w:val="20"/>
                <w:szCs w:val="20"/>
              </w:rPr>
              <w:fldChar w:fldCharType="separate"/>
            </w:r>
            <w:r>
              <w:rPr>
                <w:rFonts w:cs="Segoe UI Historic"/>
                <w:color w:val="000000" w:themeColor="text1"/>
                <w:sz w:val="20"/>
                <w:szCs w:val="20"/>
              </w:rPr>
              <w:t>[10]</w:t>
            </w:r>
            <w:r>
              <w:rPr>
                <w:rFonts w:cs="Segoe UI Historic"/>
                <w:color w:val="000000" w:themeColor="text1"/>
                <w:sz w:val="20"/>
                <w:szCs w:val="20"/>
              </w:rPr>
              <w:fldChar w:fldCharType="end"/>
            </w:r>
          </w:p>
        </w:tc>
      </w:tr>
      <w:tr w:rsidR="009B478B" w:rsidRPr="00B54E4A" w14:paraId="546A0CDA" w14:textId="77777777" w:rsidTr="00782D86">
        <w:trPr>
          <w:trHeight w:val="20"/>
        </w:trPr>
        <w:tc>
          <w:tcPr>
            <w:tcW w:w="1985" w:type="dxa"/>
            <w:tcBorders>
              <w:right w:val="nil"/>
            </w:tcBorders>
            <w:shd w:val="clear" w:color="auto" w:fill="FFFFFF" w:themeFill="background1"/>
          </w:tcPr>
          <w:p w14:paraId="2CBC5826" w14:textId="77777777" w:rsidR="009B478B" w:rsidRPr="00B42ACA" w:rsidRDefault="009B478B" w:rsidP="009B478B">
            <w:pPr>
              <w:snapToGrid w:val="0"/>
              <w:contextualSpacing/>
              <w:jc w:val="right"/>
              <w:rPr>
                <w:rFonts w:cs="Segoe UI Historic"/>
                <w:color w:val="FFFFFF" w:themeColor="background1"/>
                <w:sz w:val="20"/>
                <w:szCs w:val="20"/>
              </w:rPr>
            </w:pPr>
          </w:p>
        </w:tc>
        <w:tc>
          <w:tcPr>
            <w:tcW w:w="425" w:type="dxa"/>
            <w:tcBorders>
              <w:left w:val="nil"/>
              <w:right w:val="nil"/>
            </w:tcBorders>
            <w:shd w:val="clear" w:color="auto" w:fill="FFFFFF" w:themeFill="background1"/>
          </w:tcPr>
          <w:p w14:paraId="508E76C1" w14:textId="77777777" w:rsidR="009B478B" w:rsidRPr="00B42ACA" w:rsidRDefault="009B478B" w:rsidP="009B478B">
            <w:pPr>
              <w:snapToGrid w:val="0"/>
              <w:contextualSpacing/>
              <w:rPr>
                <w:rFonts w:cs="Segoe UI Historic"/>
                <w:color w:val="000000" w:themeColor="text1"/>
                <w:sz w:val="20"/>
                <w:szCs w:val="20"/>
              </w:rPr>
            </w:pPr>
          </w:p>
        </w:tc>
        <w:tc>
          <w:tcPr>
            <w:tcW w:w="992" w:type="dxa"/>
            <w:tcBorders>
              <w:left w:val="nil"/>
              <w:right w:val="nil"/>
            </w:tcBorders>
            <w:shd w:val="clear" w:color="auto" w:fill="FFFFFF" w:themeFill="background1"/>
          </w:tcPr>
          <w:p w14:paraId="046EB8DC" w14:textId="2B083279" w:rsidR="009B478B" w:rsidRPr="00B42ACA" w:rsidRDefault="009B478B" w:rsidP="009B478B">
            <w:pPr>
              <w:snapToGrid w:val="0"/>
              <w:contextualSpacing/>
              <w:rPr>
                <w:rFonts w:cs="Segoe UI Historic"/>
                <w:color w:val="000000" w:themeColor="text1"/>
                <w:sz w:val="20"/>
                <w:szCs w:val="20"/>
              </w:rPr>
            </w:pPr>
            <w:r w:rsidRPr="00B42ACA">
              <w:rPr>
                <w:rFonts w:cs="Segoe UI Historic"/>
                <w:color w:val="000000" w:themeColor="text1"/>
                <w:sz w:val="20"/>
                <w:szCs w:val="20"/>
              </w:rPr>
              <w:t>.V01</w:t>
            </w:r>
          </w:p>
        </w:tc>
        <w:tc>
          <w:tcPr>
            <w:tcW w:w="3544" w:type="dxa"/>
            <w:shd w:val="clear" w:color="auto" w:fill="FFFFFF" w:themeFill="background1"/>
          </w:tcPr>
          <w:p w14:paraId="26B6953B" w14:textId="6CEEF257" w:rsidR="009B478B" w:rsidRPr="00B42ACA" w:rsidRDefault="009B478B" w:rsidP="009B478B">
            <w:pPr>
              <w:snapToGrid w:val="0"/>
              <w:contextualSpacing/>
              <w:rPr>
                <w:rFonts w:cs="Segoe UI Historic"/>
                <w:color w:val="000000" w:themeColor="text1"/>
                <w:sz w:val="20"/>
                <w:szCs w:val="20"/>
              </w:rPr>
            </w:pPr>
            <w:r w:rsidRPr="00B42ACA">
              <w:rPr>
                <w:rFonts w:cs="Segoe UI Historic"/>
                <w:color w:val="000000" w:themeColor="text1"/>
                <w:sz w:val="20"/>
                <w:szCs w:val="20"/>
              </w:rPr>
              <w:t>Beryllium Filter System</w:t>
            </w:r>
          </w:p>
        </w:tc>
        <w:tc>
          <w:tcPr>
            <w:tcW w:w="1134" w:type="dxa"/>
            <w:shd w:val="clear" w:color="auto" w:fill="FFFFFF" w:themeFill="background1"/>
          </w:tcPr>
          <w:p w14:paraId="4587D2F2" w14:textId="6DB5E96A" w:rsidR="009B478B" w:rsidRPr="00B42ACA" w:rsidRDefault="009B478B" w:rsidP="009B478B">
            <w:pPr>
              <w:snapToGrid w:val="0"/>
              <w:contextualSpacing/>
              <w:rPr>
                <w:rFonts w:cs="Segoe UI Historic"/>
                <w:color w:val="FFFFFF" w:themeColor="background1"/>
                <w:sz w:val="20"/>
                <w:szCs w:val="20"/>
              </w:rPr>
            </w:pPr>
            <w:r w:rsidRPr="009B478B">
              <w:rPr>
                <w:rFonts w:cs="Segoe UI Historic"/>
                <w:sz w:val="20"/>
                <w:szCs w:val="20"/>
              </w:rPr>
              <w:t>ESS-5764655</w:t>
            </w:r>
          </w:p>
        </w:tc>
        <w:tc>
          <w:tcPr>
            <w:tcW w:w="1300" w:type="dxa"/>
            <w:shd w:val="clear" w:color="auto" w:fill="FFFFFF" w:themeFill="background1"/>
          </w:tcPr>
          <w:p w14:paraId="06B477F1" w14:textId="3EC5724A" w:rsidR="009B478B" w:rsidRPr="00B42ACA" w:rsidRDefault="009B478B" w:rsidP="009B478B">
            <w:pPr>
              <w:snapToGrid w:val="0"/>
              <w:contextualSpacing/>
              <w:rPr>
                <w:rFonts w:cs="Segoe UI Historic"/>
                <w:color w:val="FFFFFF" w:themeColor="background1"/>
                <w:sz w:val="20"/>
                <w:szCs w:val="20"/>
              </w:rPr>
            </w:pPr>
            <w:hyperlink r:id="rId20" w:history="1">
              <w:r w:rsidRPr="002D34CC">
                <w:rPr>
                  <w:rStyle w:val="Hyperlink"/>
                  <w:rFonts w:cs="Segoe UI Historic"/>
                  <w:sz w:val="20"/>
                  <w:szCs w:val="20"/>
                </w:rPr>
                <w:t>ESS-5690169</w:t>
              </w:r>
            </w:hyperlink>
            <w:r>
              <w:rPr>
                <w:rFonts w:cs="Segoe UI Historic"/>
                <w:color w:val="000000" w:themeColor="text1"/>
                <w:sz w:val="20"/>
                <w:szCs w:val="20"/>
              </w:rPr>
              <w:t xml:space="preserve"> </w:t>
            </w:r>
            <w:r>
              <w:rPr>
                <w:rFonts w:cs="Segoe UI Historic"/>
                <w:color w:val="000000" w:themeColor="text1"/>
                <w:sz w:val="20"/>
                <w:szCs w:val="20"/>
              </w:rPr>
              <w:fldChar w:fldCharType="begin"/>
            </w:r>
            <w:r>
              <w:rPr>
                <w:rFonts w:cs="Segoe UI Historic"/>
                <w:color w:val="000000" w:themeColor="text1"/>
                <w:sz w:val="20"/>
                <w:szCs w:val="20"/>
              </w:rPr>
              <w:instrText xml:space="preserve"> REF _Ref199935196 \w \h </w:instrText>
            </w:r>
            <w:r>
              <w:rPr>
                <w:rFonts w:cs="Segoe UI Historic"/>
                <w:color w:val="000000" w:themeColor="text1"/>
                <w:sz w:val="20"/>
                <w:szCs w:val="20"/>
              </w:rPr>
            </w:r>
            <w:r>
              <w:rPr>
                <w:rFonts w:cs="Segoe UI Historic"/>
                <w:color w:val="000000" w:themeColor="text1"/>
                <w:sz w:val="20"/>
                <w:szCs w:val="20"/>
              </w:rPr>
              <w:fldChar w:fldCharType="separate"/>
            </w:r>
            <w:r>
              <w:rPr>
                <w:rFonts w:cs="Segoe UI Historic"/>
                <w:color w:val="000000" w:themeColor="text1"/>
                <w:sz w:val="20"/>
                <w:szCs w:val="20"/>
              </w:rPr>
              <w:t>[10]</w:t>
            </w:r>
            <w:r>
              <w:rPr>
                <w:rFonts w:cs="Segoe UI Historic"/>
                <w:color w:val="000000" w:themeColor="text1"/>
                <w:sz w:val="20"/>
                <w:szCs w:val="20"/>
              </w:rPr>
              <w:fldChar w:fldCharType="end"/>
            </w:r>
          </w:p>
        </w:tc>
      </w:tr>
      <w:tr w:rsidR="009B478B" w:rsidRPr="00B54E4A" w14:paraId="238D442C" w14:textId="77777777" w:rsidTr="00782D86">
        <w:trPr>
          <w:trHeight w:val="20"/>
        </w:trPr>
        <w:tc>
          <w:tcPr>
            <w:tcW w:w="1985" w:type="dxa"/>
            <w:tcBorders>
              <w:right w:val="nil"/>
            </w:tcBorders>
            <w:shd w:val="clear" w:color="auto" w:fill="D9D9D9" w:themeFill="background1" w:themeFillShade="D9"/>
          </w:tcPr>
          <w:p w14:paraId="1707178F" w14:textId="77777777" w:rsidR="009B478B" w:rsidRPr="00B42ACA" w:rsidRDefault="009B478B" w:rsidP="009B478B">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061F7862" w14:textId="77777777" w:rsidR="009B478B" w:rsidRPr="00B42ACA" w:rsidRDefault="009B478B" w:rsidP="009B478B">
            <w:pPr>
              <w:snapToGrid w:val="0"/>
              <w:contextualSpacing/>
              <w:rPr>
                <w:rFonts w:cs="Segoe UI Historic"/>
                <w:sz w:val="20"/>
                <w:szCs w:val="20"/>
              </w:rPr>
            </w:pPr>
            <w:r w:rsidRPr="00B42ACA">
              <w:rPr>
                <w:rFonts w:cs="Segoe UI Historic"/>
                <w:sz w:val="20"/>
                <w:szCs w:val="20"/>
              </w:rPr>
              <w:t>.K01</w:t>
            </w:r>
          </w:p>
        </w:tc>
        <w:tc>
          <w:tcPr>
            <w:tcW w:w="992" w:type="dxa"/>
            <w:tcBorders>
              <w:left w:val="nil"/>
              <w:right w:val="nil"/>
            </w:tcBorders>
            <w:shd w:val="clear" w:color="auto" w:fill="D9D9D9" w:themeFill="background1" w:themeFillShade="D9"/>
          </w:tcPr>
          <w:p w14:paraId="0059FA42" w14:textId="77777777" w:rsidR="009B478B" w:rsidRPr="00B42ACA" w:rsidRDefault="009B478B" w:rsidP="009B478B">
            <w:pPr>
              <w:snapToGrid w:val="0"/>
              <w:contextualSpacing/>
              <w:rPr>
                <w:rFonts w:cs="Segoe UI Historic"/>
                <w:sz w:val="20"/>
                <w:szCs w:val="20"/>
              </w:rPr>
            </w:pPr>
          </w:p>
        </w:tc>
        <w:tc>
          <w:tcPr>
            <w:tcW w:w="3544" w:type="dxa"/>
            <w:shd w:val="clear" w:color="auto" w:fill="D9D9D9" w:themeFill="background1" w:themeFillShade="D9"/>
          </w:tcPr>
          <w:p w14:paraId="16E2615D" w14:textId="77777777" w:rsidR="009B478B" w:rsidRPr="00B42ACA" w:rsidRDefault="009B478B" w:rsidP="009B478B">
            <w:pPr>
              <w:snapToGrid w:val="0"/>
              <w:contextualSpacing/>
              <w:rPr>
                <w:rFonts w:cs="Segoe UI Historic"/>
                <w:sz w:val="20"/>
                <w:szCs w:val="20"/>
              </w:rPr>
            </w:pPr>
            <w:r w:rsidRPr="00B42ACA">
              <w:rPr>
                <w:rFonts w:cs="Segoe UI Historic"/>
                <w:sz w:val="20"/>
                <w:szCs w:val="20"/>
              </w:rPr>
              <w:t>Instrument Automation Control System</w:t>
            </w:r>
          </w:p>
        </w:tc>
        <w:tc>
          <w:tcPr>
            <w:tcW w:w="1134" w:type="dxa"/>
            <w:shd w:val="clear" w:color="auto" w:fill="D9D9D9" w:themeFill="background1" w:themeFillShade="D9"/>
          </w:tcPr>
          <w:p w14:paraId="05BDE6C9" w14:textId="0219BCE4" w:rsidR="009B478B" w:rsidRPr="00B42ACA" w:rsidRDefault="009B478B" w:rsidP="009B478B">
            <w:pPr>
              <w:snapToGrid w:val="0"/>
              <w:contextualSpacing/>
              <w:rPr>
                <w:rFonts w:cs="Segoe UI Historic"/>
                <w:sz w:val="20"/>
                <w:szCs w:val="20"/>
              </w:rPr>
            </w:pPr>
            <w:r>
              <w:rPr>
                <w:rFonts w:cs="Segoe UI Historic"/>
                <w:sz w:val="20"/>
                <w:szCs w:val="20"/>
              </w:rPr>
              <w:t>N/A</w:t>
            </w:r>
          </w:p>
        </w:tc>
        <w:tc>
          <w:tcPr>
            <w:tcW w:w="1300" w:type="dxa"/>
            <w:shd w:val="clear" w:color="auto" w:fill="D9D9D9" w:themeFill="background1" w:themeFillShade="D9"/>
          </w:tcPr>
          <w:p w14:paraId="614B5F20" w14:textId="55A227BE" w:rsidR="009B478B" w:rsidRPr="00B42ACA" w:rsidRDefault="009B478B" w:rsidP="009B478B">
            <w:pPr>
              <w:snapToGrid w:val="0"/>
              <w:contextualSpacing/>
              <w:rPr>
                <w:rFonts w:cs="Segoe UI Historic"/>
                <w:sz w:val="20"/>
                <w:szCs w:val="20"/>
              </w:rPr>
            </w:pPr>
            <w:r>
              <w:rPr>
                <w:rFonts w:cs="Segoe UI Historic"/>
                <w:sz w:val="20"/>
                <w:szCs w:val="20"/>
              </w:rPr>
              <w:t>N/A</w:t>
            </w:r>
          </w:p>
        </w:tc>
      </w:tr>
      <w:tr w:rsidR="009B478B" w:rsidRPr="00B54E4A" w14:paraId="23B73E4F" w14:textId="77777777" w:rsidTr="00782D86">
        <w:trPr>
          <w:trHeight w:val="20"/>
        </w:trPr>
        <w:tc>
          <w:tcPr>
            <w:tcW w:w="1985" w:type="dxa"/>
            <w:tcBorders>
              <w:right w:val="nil"/>
            </w:tcBorders>
            <w:shd w:val="clear" w:color="auto" w:fill="D9D9D9" w:themeFill="background1" w:themeFillShade="D9"/>
          </w:tcPr>
          <w:p w14:paraId="7D7D0719" w14:textId="77777777" w:rsidR="009B478B" w:rsidRPr="00B42ACA" w:rsidRDefault="009B478B" w:rsidP="009B478B">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40865659" w14:textId="77777777" w:rsidR="009B478B" w:rsidRPr="00B42ACA" w:rsidRDefault="009B478B" w:rsidP="009B478B">
            <w:pPr>
              <w:snapToGrid w:val="0"/>
              <w:contextualSpacing/>
              <w:rPr>
                <w:rFonts w:cs="Segoe UI Historic"/>
                <w:sz w:val="20"/>
                <w:szCs w:val="20"/>
              </w:rPr>
            </w:pPr>
            <w:r w:rsidRPr="00B42ACA">
              <w:rPr>
                <w:rFonts w:cs="Segoe UI Historic"/>
                <w:sz w:val="20"/>
                <w:szCs w:val="20"/>
              </w:rPr>
              <w:t>.U01</w:t>
            </w:r>
          </w:p>
        </w:tc>
        <w:tc>
          <w:tcPr>
            <w:tcW w:w="992" w:type="dxa"/>
            <w:tcBorders>
              <w:left w:val="nil"/>
              <w:right w:val="nil"/>
            </w:tcBorders>
            <w:shd w:val="clear" w:color="auto" w:fill="D9D9D9" w:themeFill="background1" w:themeFillShade="D9"/>
          </w:tcPr>
          <w:p w14:paraId="7CAB6F5E" w14:textId="77777777" w:rsidR="009B478B" w:rsidRPr="00B42ACA" w:rsidRDefault="009B478B" w:rsidP="009B478B">
            <w:pPr>
              <w:snapToGrid w:val="0"/>
              <w:contextualSpacing/>
              <w:rPr>
                <w:rFonts w:cs="Segoe UI Historic"/>
                <w:sz w:val="20"/>
                <w:szCs w:val="20"/>
              </w:rPr>
            </w:pPr>
          </w:p>
        </w:tc>
        <w:tc>
          <w:tcPr>
            <w:tcW w:w="3544" w:type="dxa"/>
            <w:shd w:val="clear" w:color="auto" w:fill="D9D9D9" w:themeFill="background1" w:themeFillShade="D9"/>
          </w:tcPr>
          <w:p w14:paraId="57DC5D96" w14:textId="77777777" w:rsidR="009B478B" w:rsidRPr="00B42ACA" w:rsidRDefault="009B478B" w:rsidP="009B478B">
            <w:pPr>
              <w:snapToGrid w:val="0"/>
              <w:contextualSpacing/>
              <w:rPr>
                <w:rFonts w:cs="Segoe UI Historic"/>
                <w:sz w:val="20"/>
                <w:szCs w:val="20"/>
              </w:rPr>
            </w:pPr>
            <w:r w:rsidRPr="00B42ACA">
              <w:rPr>
                <w:rFonts w:cs="Segoe UI Historic"/>
                <w:sz w:val="20"/>
                <w:szCs w:val="20"/>
              </w:rPr>
              <w:t>Experimental Cave</w:t>
            </w:r>
          </w:p>
        </w:tc>
        <w:tc>
          <w:tcPr>
            <w:tcW w:w="1134" w:type="dxa"/>
            <w:shd w:val="clear" w:color="auto" w:fill="D9D9D9" w:themeFill="background1" w:themeFillShade="D9"/>
          </w:tcPr>
          <w:p w14:paraId="3BFF27D2" w14:textId="0DD0109B" w:rsidR="009B478B" w:rsidRPr="00B42ACA" w:rsidRDefault="009B478B" w:rsidP="009B478B">
            <w:pPr>
              <w:snapToGrid w:val="0"/>
              <w:contextualSpacing/>
              <w:rPr>
                <w:rFonts w:cs="Segoe UI Historic"/>
                <w:sz w:val="20"/>
                <w:szCs w:val="20"/>
              </w:rPr>
            </w:pPr>
            <w:r>
              <w:rPr>
                <w:rFonts w:cs="Segoe UI Historic"/>
                <w:sz w:val="20"/>
                <w:szCs w:val="20"/>
              </w:rPr>
              <w:t>N/A</w:t>
            </w:r>
          </w:p>
        </w:tc>
        <w:tc>
          <w:tcPr>
            <w:tcW w:w="1300" w:type="dxa"/>
            <w:shd w:val="clear" w:color="auto" w:fill="D9D9D9" w:themeFill="background1" w:themeFillShade="D9"/>
          </w:tcPr>
          <w:p w14:paraId="46A78572" w14:textId="48DB959D" w:rsidR="009B478B" w:rsidRPr="00B42ACA" w:rsidRDefault="009B478B" w:rsidP="009B478B">
            <w:pPr>
              <w:snapToGrid w:val="0"/>
              <w:contextualSpacing/>
              <w:rPr>
                <w:rFonts w:cs="Segoe UI Historic"/>
                <w:sz w:val="20"/>
                <w:szCs w:val="20"/>
              </w:rPr>
            </w:pPr>
            <w:r>
              <w:rPr>
                <w:rFonts w:cs="Segoe UI Historic"/>
                <w:sz w:val="20"/>
                <w:szCs w:val="20"/>
              </w:rPr>
              <w:t>N/A</w:t>
            </w:r>
          </w:p>
        </w:tc>
      </w:tr>
      <w:tr w:rsidR="009B478B" w:rsidRPr="00B54E4A" w14:paraId="14BDF629" w14:textId="77777777" w:rsidTr="00782D86">
        <w:trPr>
          <w:trHeight w:val="20"/>
        </w:trPr>
        <w:tc>
          <w:tcPr>
            <w:tcW w:w="1985" w:type="dxa"/>
            <w:tcBorders>
              <w:right w:val="nil"/>
            </w:tcBorders>
            <w:shd w:val="clear" w:color="auto" w:fill="FFFFFF" w:themeFill="background1"/>
          </w:tcPr>
          <w:p w14:paraId="154A9A76" w14:textId="77777777" w:rsidR="009B478B" w:rsidRPr="00B42ACA" w:rsidRDefault="009B478B" w:rsidP="009B478B">
            <w:pPr>
              <w:snapToGrid w:val="0"/>
              <w:contextualSpacing/>
              <w:jc w:val="right"/>
              <w:rPr>
                <w:rFonts w:cs="Segoe UI Historic"/>
                <w:sz w:val="20"/>
                <w:szCs w:val="20"/>
              </w:rPr>
            </w:pPr>
          </w:p>
        </w:tc>
        <w:tc>
          <w:tcPr>
            <w:tcW w:w="425" w:type="dxa"/>
            <w:tcBorders>
              <w:left w:val="nil"/>
              <w:right w:val="nil"/>
            </w:tcBorders>
            <w:shd w:val="clear" w:color="auto" w:fill="FFFFFF" w:themeFill="background1"/>
          </w:tcPr>
          <w:p w14:paraId="6A1452FE" w14:textId="77777777" w:rsidR="009B478B" w:rsidRPr="00B42ACA" w:rsidRDefault="009B478B" w:rsidP="009B478B">
            <w:pPr>
              <w:snapToGrid w:val="0"/>
              <w:contextualSpacing/>
              <w:rPr>
                <w:rFonts w:cs="Segoe UI Historic"/>
                <w:sz w:val="20"/>
                <w:szCs w:val="20"/>
              </w:rPr>
            </w:pPr>
          </w:p>
        </w:tc>
        <w:tc>
          <w:tcPr>
            <w:tcW w:w="992" w:type="dxa"/>
            <w:tcBorders>
              <w:left w:val="nil"/>
              <w:right w:val="nil"/>
            </w:tcBorders>
            <w:shd w:val="clear" w:color="auto" w:fill="FFFFFF" w:themeFill="background1"/>
          </w:tcPr>
          <w:p w14:paraId="28C0C7F8" w14:textId="301E245F" w:rsidR="009B478B" w:rsidRPr="00B42ACA" w:rsidRDefault="009B478B" w:rsidP="009B478B">
            <w:pPr>
              <w:snapToGrid w:val="0"/>
              <w:contextualSpacing/>
              <w:rPr>
                <w:rFonts w:cs="Segoe UI Historic"/>
                <w:sz w:val="20"/>
                <w:szCs w:val="20"/>
              </w:rPr>
            </w:pPr>
            <w:r w:rsidRPr="00B42ACA">
              <w:rPr>
                <w:rFonts w:cs="Segoe UI Historic"/>
                <w:sz w:val="20"/>
                <w:szCs w:val="20"/>
              </w:rPr>
              <w:t>.A01</w:t>
            </w:r>
          </w:p>
        </w:tc>
        <w:tc>
          <w:tcPr>
            <w:tcW w:w="3544" w:type="dxa"/>
            <w:shd w:val="clear" w:color="auto" w:fill="FFFFFF" w:themeFill="background1"/>
          </w:tcPr>
          <w:p w14:paraId="06C44BF1" w14:textId="1B50C633" w:rsidR="009B478B" w:rsidRPr="00B42ACA" w:rsidRDefault="009B478B" w:rsidP="009B478B">
            <w:pPr>
              <w:snapToGrid w:val="0"/>
              <w:contextualSpacing/>
              <w:rPr>
                <w:rFonts w:cs="Segoe UI Historic"/>
                <w:sz w:val="20"/>
                <w:szCs w:val="20"/>
              </w:rPr>
            </w:pPr>
            <w:r w:rsidRPr="00B42ACA">
              <w:rPr>
                <w:rFonts w:cs="Segoe UI Historic"/>
                <w:sz w:val="20"/>
                <w:szCs w:val="20"/>
              </w:rPr>
              <w:t>Roof hatch</w:t>
            </w:r>
          </w:p>
        </w:tc>
        <w:tc>
          <w:tcPr>
            <w:tcW w:w="1134" w:type="dxa"/>
            <w:shd w:val="clear" w:color="auto" w:fill="FFFFFF" w:themeFill="background1"/>
          </w:tcPr>
          <w:p w14:paraId="33A1FDAC" w14:textId="08610A2D" w:rsidR="009B478B" w:rsidRPr="00B42ACA" w:rsidRDefault="009B478B" w:rsidP="009B478B">
            <w:pPr>
              <w:snapToGrid w:val="0"/>
              <w:contextualSpacing/>
              <w:rPr>
                <w:rFonts w:cs="Segoe UI Historic"/>
                <w:sz w:val="20"/>
                <w:szCs w:val="20"/>
              </w:rPr>
            </w:pPr>
            <w:r>
              <w:rPr>
                <w:rFonts w:cs="Segoe UI Historic"/>
                <w:sz w:val="20"/>
                <w:szCs w:val="20"/>
              </w:rPr>
              <w:t>N/A</w:t>
            </w:r>
          </w:p>
        </w:tc>
        <w:tc>
          <w:tcPr>
            <w:tcW w:w="1300" w:type="dxa"/>
            <w:shd w:val="clear" w:color="auto" w:fill="FFFFFF" w:themeFill="background1"/>
          </w:tcPr>
          <w:p w14:paraId="688D6DE6" w14:textId="2B078FF6" w:rsidR="009B478B" w:rsidRPr="00B42ACA" w:rsidRDefault="009B478B" w:rsidP="009B478B">
            <w:pPr>
              <w:snapToGrid w:val="0"/>
              <w:contextualSpacing/>
              <w:rPr>
                <w:rFonts w:cs="Segoe UI Historic"/>
                <w:sz w:val="20"/>
                <w:szCs w:val="20"/>
              </w:rPr>
            </w:pPr>
            <w:r>
              <w:rPr>
                <w:rFonts w:cs="Segoe UI Historic"/>
                <w:sz w:val="20"/>
                <w:szCs w:val="20"/>
              </w:rPr>
              <w:t>N/A</w:t>
            </w:r>
          </w:p>
        </w:tc>
      </w:tr>
      <w:tr w:rsidR="009B478B" w:rsidRPr="00B54E4A" w14:paraId="3EB4F1BD" w14:textId="77777777" w:rsidTr="00782D86">
        <w:trPr>
          <w:trHeight w:val="20"/>
        </w:trPr>
        <w:tc>
          <w:tcPr>
            <w:tcW w:w="1985" w:type="dxa"/>
            <w:tcBorders>
              <w:right w:val="nil"/>
            </w:tcBorders>
            <w:shd w:val="clear" w:color="auto" w:fill="D9D9D9" w:themeFill="background1" w:themeFillShade="D9"/>
          </w:tcPr>
          <w:p w14:paraId="47DE12A6" w14:textId="77777777" w:rsidR="009B478B" w:rsidRPr="00B42ACA" w:rsidRDefault="009B478B" w:rsidP="009B478B">
            <w:pPr>
              <w:snapToGrid w:val="0"/>
              <w:contextualSpacing/>
              <w:jc w:val="right"/>
              <w:rPr>
                <w:rFonts w:cs="Segoe UI Historic"/>
                <w:sz w:val="20"/>
                <w:szCs w:val="20"/>
              </w:rPr>
            </w:pPr>
          </w:p>
        </w:tc>
        <w:tc>
          <w:tcPr>
            <w:tcW w:w="425" w:type="dxa"/>
            <w:tcBorders>
              <w:left w:val="nil"/>
              <w:right w:val="nil"/>
            </w:tcBorders>
            <w:shd w:val="clear" w:color="auto" w:fill="D9D9D9" w:themeFill="background1" w:themeFillShade="D9"/>
          </w:tcPr>
          <w:p w14:paraId="2D7E3BC1" w14:textId="77777777" w:rsidR="009B478B" w:rsidRPr="00B42ACA" w:rsidRDefault="009B478B" w:rsidP="009B478B">
            <w:pPr>
              <w:snapToGrid w:val="0"/>
              <w:contextualSpacing/>
              <w:rPr>
                <w:rFonts w:cs="Segoe UI Historic"/>
                <w:sz w:val="20"/>
                <w:szCs w:val="20"/>
              </w:rPr>
            </w:pPr>
            <w:r w:rsidRPr="00B42ACA">
              <w:rPr>
                <w:rFonts w:cs="Segoe UI Historic"/>
                <w:color w:val="172B4D"/>
                <w:sz w:val="20"/>
                <w:szCs w:val="20"/>
              </w:rPr>
              <w:t>.K02</w:t>
            </w:r>
          </w:p>
        </w:tc>
        <w:tc>
          <w:tcPr>
            <w:tcW w:w="992" w:type="dxa"/>
            <w:tcBorders>
              <w:left w:val="nil"/>
              <w:right w:val="nil"/>
            </w:tcBorders>
            <w:shd w:val="clear" w:color="auto" w:fill="D9D9D9" w:themeFill="background1" w:themeFillShade="D9"/>
          </w:tcPr>
          <w:p w14:paraId="5EC71F99" w14:textId="77777777" w:rsidR="009B478B" w:rsidRPr="00B42ACA" w:rsidRDefault="009B478B" w:rsidP="009B478B">
            <w:pPr>
              <w:snapToGrid w:val="0"/>
              <w:contextualSpacing/>
              <w:rPr>
                <w:rFonts w:cs="Segoe UI Historic"/>
                <w:sz w:val="20"/>
                <w:szCs w:val="20"/>
              </w:rPr>
            </w:pPr>
          </w:p>
        </w:tc>
        <w:tc>
          <w:tcPr>
            <w:tcW w:w="3544" w:type="dxa"/>
            <w:shd w:val="clear" w:color="auto" w:fill="D9D9D9" w:themeFill="background1" w:themeFillShade="D9"/>
          </w:tcPr>
          <w:p w14:paraId="18140B2C" w14:textId="77777777" w:rsidR="009B478B" w:rsidRPr="00B42ACA" w:rsidRDefault="009B478B" w:rsidP="009B478B">
            <w:pPr>
              <w:snapToGrid w:val="0"/>
              <w:contextualSpacing/>
              <w:rPr>
                <w:rFonts w:cs="Segoe UI Historic"/>
                <w:sz w:val="20"/>
                <w:szCs w:val="20"/>
              </w:rPr>
            </w:pPr>
            <w:r w:rsidRPr="00B42ACA">
              <w:rPr>
                <w:rFonts w:cs="Segoe UI Historic"/>
                <w:sz w:val="20"/>
                <w:szCs w:val="20"/>
              </w:rPr>
              <w:t>Data Management &amp; Experiment Control System</w:t>
            </w:r>
          </w:p>
        </w:tc>
        <w:tc>
          <w:tcPr>
            <w:tcW w:w="1134" w:type="dxa"/>
            <w:shd w:val="clear" w:color="auto" w:fill="D9D9D9" w:themeFill="background1" w:themeFillShade="D9"/>
          </w:tcPr>
          <w:p w14:paraId="53FD619D" w14:textId="69D0BFF5" w:rsidR="009B478B" w:rsidRPr="00B42ACA" w:rsidRDefault="009B478B" w:rsidP="009B478B">
            <w:pPr>
              <w:snapToGrid w:val="0"/>
              <w:contextualSpacing/>
              <w:rPr>
                <w:rFonts w:cs="Segoe UI Historic"/>
                <w:sz w:val="20"/>
                <w:szCs w:val="20"/>
              </w:rPr>
            </w:pPr>
            <w:r>
              <w:rPr>
                <w:rFonts w:cs="Segoe UI Historic"/>
                <w:sz w:val="20"/>
                <w:szCs w:val="20"/>
              </w:rPr>
              <w:t>N/A</w:t>
            </w:r>
          </w:p>
        </w:tc>
        <w:tc>
          <w:tcPr>
            <w:tcW w:w="1300" w:type="dxa"/>
            <w:shd w:val="clear" w:color="auto" w:fill="D9D9D9" w:themeFill="background1" w:themeFillShade="D9"/>
          </w:tcPr>
          <w:p w14:paraId="3A969A94" w14:textId="5C2AA7BB" w:rsidR="009B478B" w:rsidRPr="00B42ACA" w:rsidRDefault="009B478B" w:rsidP="009B478B">
            <w:pPr>
              <w:snapToGrid w:val="0"/>
              <w:contextualSpacing/>
              <w:rPr>
                <w:rFonts w:cs="Segoe UI Historic"/>
                <w:sz w:val="20"/>
                <w:szCs w:val="20"/>
              </w:rPr>
            </w:pPr>
            <w:r>
              <w:rPr>
                <w:rFonts w:cs="Segoe UI Historic"/>
                <w:sz w:val="20"/>
                <w:szCs w:val="20"/>
              </w:rPr>
              <w:t>N/A</w:t>
            </w:r>
          </w:p>
        </w:tc>
      </w:tr>
    </w:tbl>
    <w:p w14:paraId="5E2B2BAA" w14:textId="77777777" w:rsidR="00AD6300" w:rsidRPr="00B54E4A" w:rsidRDefault="00AD6300">
      <w:pPr>
        <w:spacing w:after="0"/>
        <w:rPr>
          <w:rFonts w:asciiTheme="minorHAnsi" w:hAnsiTheme="minorHAnsi" w:cstheme="minorHAnsi"/>
        </w:rPr>
      </w:pPr>
    </w:p>
    <w:p w14:paraId="305D9E65" w14:textId="77777777" w:rsidR="009D0ED5" w:rsidRDefault="009D0ED5">
      <w:pPr>
        <w:spacing w:after="0"/>
        <w:rPr>
          <w:rFonts w:asciiTheme="minorHAnsi" w:eastAsiaTheme="majorEastAsia" w:hAnsiTheme="minorHAnsi" w:cstheme="minorHAnsi"/>
          <w:b/>
          <w:bCs/>
          <w:caps/>
          <w:color w:val="000000" w:themeColor="text1"/>
          <w:sz w:val="28"/>
          <w:szCs w:val="28"/>
        </w:rPr>
      </w:pPr>
      <w:bookmarkStart w:id="13" w:name="_Ref181970506"/>
      <w:bookmarkStart w:id="14" w:name="_Toc193364940"/>
      <w:r>
        <w:rPr>
          <w:rFonts w:asciiTheme="minorHAnsi" w:hAnsiTheme="minorHAnsi" w:cstheme="minorHAnsi"/>
          <w:sz w:val="28"/>
        </w:rPr>
        <w:br w:type="page"/>
      </w:r>
    </w:p>
    <w:p w14:paraId="63777ACC" w14:textId="27422A4D" w:rsidR="00B54E4A" w:rsidRPr="00B54E4A" w:rsidRDefault="00B54E4A" w:rsidP="009D0ED5">
      <w:pPr>
        <w:pStyle w:val="Heading1"/>
      </w:pPr>
      <w:bookmarkStart w:id="15" w:name="_Toc199928627"/>
      <w:r w:rsidRPr="00B54E4A">
        <w:lastRenderedPageBreak/>
        <w:t xml:space="preserve">Hot </w:t>
      </w:r>
      <w:r w:rsidRPr="009D0ED5">
        <w:t>Commisioning</w:t>
      </w:r>
      <w:r w:rsidRPr="00B54E4A">
        <w:t xml:space="preserve"> (</w:t>
      </w:r>
      <w:bookmarkEnd w:id="13"/>
      <w:r w:rsidRPr="00B54E4A">
        <w:t>VALIDATION)</w:t>
      </w:r>
      <w:bookmarkEnd w:id="14"/>
      <w:bookmarkEnd w:id="15"/>
    </w:p>
    <w:p w14:paraId="79AED6E5" w14:textId="4083D7DA" w:rsidR="00B54E4A" w:rsidRPr="00B54E4A" w:rsidRDefault="00B54E4A" w:rsidP="009D0ED5">
      <w:r w:rsidRPr="00B54E4A">
        <w:t xml:space="preserve">The validation activities are designed to validate the instrument against its high-level scientific requirements </w:t>
      </w:r>
      <w:r w:rsidRPr="00440D91">
        <w:t>from the Con</w:t>
      </w:r>
      <w:r w:rsidR="0013576E" w:rsidRPr="00440D91">
        <w:t xml:space="preserve">Ops </w:t>
      </w:r>
      <w:r w:rsidR="00440D91" w:rsidRPr="00440D91">
        <w:fldChar w:fldCharType="begin"/>
      </w:r>
      <w:r w:rsidR="00440D91" w:rsidRPr="00440D91">
        <w:instrText xml:space="preserve"> REF _Ref199934059 \w \h </w:instrText>
      </w:r>
      <w:r w:rsidR="00440D91">
        <w:instrText xml:space="preserve"> \* MERGEFORMAT </w:instrText>
      </w:r>
      <w:r w:rsidR="00440D91" w:rsidRPr="00440D91">
        <w:fldChar w:fldCharType="separate"/>
      </w:r>
      <w:r w:rsidR="00440D91" w:rsidRPr="00440D91">
        <w:t>[2]</w:t>
      </w:r>
      <w:r w:rsidR="00440D91" w:rsidRPr="00440D91">
        <w:fldChar w:fldCharType="end"/>
      </w:r>
      <w:r w:rsidR="0013576E" w:rsidRPr="00440D91">
        <w:t>.</w:t>
      </w:r>
      <w:r w:rsidR="0013576E">
        <w:t xml:space="preserve"> </w:t>
      </w:r>
    </w:p>
    <w:p w14:paraId="437719E2" w14:textId="77777777" w:rsidR="00B54E4A" w:rsidRPr="00B54E4A" w:rsidRDefault="00B54E4A" w:rsidP="009D0ED5">
      <w:pPr>
        <w:pStyle w:val="Heading2"/>
      </w:pPr>
      <w:bookmarkStart w:id="16" w:name="_Toc192075370"/>
      <w:bookmarkStart w:id="17" w:name="_Toc193364941"/>
      <w:bookmarkStart w:id="18" w:name="_Toc199928628"/>
      <w:r w:rsidRPr="00B54E4A">
        <w:t xml:space="preserve">High </w:t>
      </w:r>
      <w:r w:rsidRPr="009D0ED5">
        <w:t>Level</w:t>
      </w:r>
      <w:r w:rsidRPr="00B54E4A">
        <w:t xml:space="preserve"> Scientific Requirements</w:t>
      </w:r>
      <w:bookmarkEnd w:id="16"/>
      <w:bookmarkEnd w:id="17"/>
      <w:bookmarkEnd w:id="18"/>
    </w:p>
    <w:tbl>
      <w:tblPr>
        <w:tblStyle w:val="PlainTable1"/>
        <w:tblW w:w="9060" w:type="dxa"/>
        <w:tblLayout w:type="fixed"/>
        <w:tblLook w:val="04A0" w:firstRow="1" w:lastRow="0" w:firstColumn="1" w:lastColumn="0" w:noHBand="0" w:noVBand="1"/>
      </w:tblPr>
      <w:tblGrid>
        <w:gridCol w:w="1691"/>
        <w:gridCol w:w="7369"/>
      </w:tblGrid>
      <w:tr w:rsidR="00B54E4A" w:rsidRPr="00B54E4A" w14:paraId="517C63AD" w14:textId="77777777" w:rsidTr="00B54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auto"/>
              <w:left w:val="single" w:sz="4" w:space="0" w:color="auto"/>
              <w:bottom w:val="single" w:sz="8" w:space="0" w:color="auto"/>
              <w:right w:val="single" w:sz="4" w:space="0" w:color="auto"/>
            </w:tcBorders>
            <w:hideMark/>
          </w:tcPr>
          <w:p w14:paraId="35AABC71"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ID</w:t>
            </w:r>
          </w:p>
        </w:tc>
        <w:tc>
          <w:tcPr>
            <w:tcW w:w="7371" w:type="dxa"/>
            <w:tcBorders>
              <w:top w:val="single" w:sz="8" w:space="0" w:color="auto"/>
              <w:left w:val="single" w:sz="4" w:space="0" w:color="auto"/>
              <w:bottom w:val="single" w:sz="8" w:space="0" w:color="auto"/>
              <w:right w:val="single" w:sz="4" w:space="0" w:color="auto"/>
            </w:tcBorders>
            <w:hideMark/>
          </w:tcPr>
          <w:p w14:paraId="720C0082" w14:textId="77777777" w:rsidR="00B54E4A" w:rsidRPr="009D0ED5" w:rsidRDefault="00B54E4A" w:rsidP="00B54E4A">
            <w:pPr>
              <w:spacing w:after="0"/>
              <w:cnfStyle w:val="100000000000" w:firstRow="1" w:lastRow="0" w:firstColumn="0" w:lastColumn="0" w:oddVBand="0" w:evenVBand="0" w:oddHBand="0" w:evenHBand="0" w:firstRowFirstColumn="0" w:firstRowLastColumn="0" w:lastRowFirstColumn="0" w:lastRowLastColumn="0"/>
              <w:rPr>
                <w:rFonts w:eastAsia="Calibri" w:cs="Segoe UI Historic"/>
                <w:sz w:val="20"/>
                <w:szCs w:val="20"/>
              </w:rPr>
            </w:pPr>
            <w:r w:rsidRPr="009D0ED5">
              <w:rPr>
                <w:rFonts w:eastAsia="Calibri" w:cs="Segoe UI Historic"/>
                <w:sz w:val="20"/>
                <w:szCs w:val="20"/>
              </w:rPr>
              <w:t>Requirement</w:t>
            </w:r>
          </w:p>
        </w:tc>
      </w:tr>
      <w:tr w:rsidR="00B54E4A" w:rsidRPr="00B54E4A" w14:paraId="58C11840"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single" w:sz="8" w:space="0" w:color="auto"/>
              <w:left w:val="single" w:sz="4" w:space="0" w:color="auto"/>
              <w:bottom w:val="nil"/>
              <w:right w:val="single" w:sz="4" w:space="0" w:color="auto"/>
            </w:tcBorders>
            <w:hideMark/>
          </w:tcPr>
          <w:p w14:paraId="2C08C5C8"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w:t>
            </w:r>
          </w:p>
        </w:tc>
        <w:tc>
          <w:tcPr>
            <w:tcW w:w="7371" w:type="dxa"/>
            <w:tcBorders>
              <w:top w:val="single" w:sz="8" w:space="0" w:color="auto"/>
              <w:left w:val="single" w:sz="4" w:space="0" w:color="auto"/>
              <w:bottom w:val="nil"/>
              <w:right w:val="single" w:sz="4" w:space="0" w:color="auto"/>
            </w:tcBorders>
            <w:hideMark/>
          </w:tcPr>
          <w:p w14:paraId="67984CA4" w14:textId="4683E690"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Using the full ESS pulse in the coarsest resolution mode, the primary spectrometer of Bifrost shall have an energy resolution dE/E</w:t>
            </w:r>
            <w:r w:rsidRPr="009D0ED5">
              <w:rPr>
                <w:rFonts w:eastAsia="Calibri" w:cs="Segoe UI Historic"/>
                <w:sz w:val="20"/>
                <w:szCs w:val="20"/>
                <w:vertAlign w:val="subscript"/>
                <w:lang w:val="en-AU"/>
              </w:rPr>
              <w:t>i</w:t>
            </w:r>
            <w:r w:rsidRPr="009D0ED5">
              <w:rPr>
                <w:rFonts w:eastAsia="Calibri" w:cs="Segoe UI Historic"/>
                <w:sz w:val="20"/>
                <w:szCs w:val="20"/>
                <w:lang w:val="en-AU"/>
              </w:rPr>
              <w:t xml:space="preserve"> &lt; 0.05 at E</w:t>
            </w:r>
            <w:r w:rsidRPr="009D0ED5">
              <w:rPr>
                <w:rFonts w:eastAsia="Calibri" w:cs="Segoe UI Historic"/>
                <w:sz w:val="20"/>
                <w:szCs w:val="20"/>
                <w:vertAlign w:val="subscript"/>
                <w:lang w:val="en-AU"/>
              </w:rPr>
              <w:t>i</w:t>
            </w:r>
            <w:r w:rsidRPr="009D0ED5">
              <w:rPr>
                <w:rFonts w:eastAsia="Calibri" w:cs="Segoe UI Historic"/>
                <w:sz w:val="20"/>
                <w:szCs w:val="20"/>
                <w:lang w:val="en-AU"/>
              </w:rPr>
              <w:t xml:space="preserve"> = 5 meV</w:t>
            </w:r>
            <w:r w:rsidR="00F2402B" w:rsidRPr="009D0ED5">
              <w:rPr>
                <w:rFonts w:eastAsia="Calibri" w:cs="Segoe UI Historic"/>
                <w:sz w:val="20"/>
                <w:szCs w:val="20"/>
                <w:lang w:val="en-AU"/>
              </w:rPr>
              <w:br/>
            </w:r>
            <w:r w:rsidRPr="009D0ED5">
              <w:rPr>
                <w:rFonts w:eastAsia="Calibri" w:cs="Segoe UI Historic"/>
                <w:sz w:val="20"/>
                <w:szCs w:val="20"/>
                <w:lang w:val="en-AU"/>
              </w:rPr>
              <w:br/>
            </w:r>
          </w:p>
        </w:tc>
      </w:tr>
      <w:tr w:rsidR="00B54E4A" w:rsidRPr="00B54E4A" w14:paraId="35850AD7"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02CC45F1"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13.6.14.r2</w:t>
            </w:r>
          </w:p>
        </w:tc>
        <w:tc>
          <w:tcPr>
            <w:tcW w:w="7371" w:type="dxa"/>
            <w:tcBorders>
              <w:top w:val="nil"/>
              <w:left w:val="single" w:sz="4" w:space="0" w:color="auto"/>
              <w:bottom w:val="nil"/>
              <w:right w:val="single" w:sz="4" w:space="0" w:color="auto"/>
            </w:tcBorders>
            <w:hideMark/>
          </w:tcPr>
          <w:p w14:paraId="71A3D73C" w14:textId="4555A6DD"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Bifrost shall have a tuneable energy resolution down to 0.03 meV in the finest resolution mode at E</w:t>
            </w:r>
            <w:r w:rsidRPr="009D0ED5">
              <w:rPr>
                <w:rFonts w:eastAsia="Calibri" w:cs="Segoe UI Historic"/>
                <w:sz w:val="20"/>
                <w:szCs w:val="20"/>
                <w:vertAlign w:val="subscript"/>
                <w:lang w:val="en-AU"/>
              </w:rPr>
              <w:t>f</w:t>
            </w:r>
            <w:r w:rsidRPr="009D0ED5">
              <w:rPr>
                <w:rFonts w:eastAsia="Calibri" w:cs="Segoe UI Historic"/>
                <w:sz w:val="20"/>
                <w:szCs w:val="20"/>
                <w:lang w:val="en-AU"/>
              </w:rPr>
              <w:t xml:space="preserve"> = 2.7 meV, as measured by FWHM of the elastic line</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35AEE89A"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4BFDB631"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13.6.14.r3</w:t>
            </w:r>
          </w:p>
        </w:tc>
        <w:tc>
          <w:tcPr>
            <w:tcW w:w="7371" w:type="dxa"/>
            <w:tcBorders>
              <w:top w:val="nil"/>
              <w:left w:val="single" w:sz="4" w:space="0" w:color="auto"/>
              <w:bottom w:val="nil"/>
              <w:right w:val="single" w:sz="4" w:space="0" w:color="auto"/>
            </w:tcBorders>
            <w:hideMark/>
          </w:tcPr>
          <w:p w14:paraId="5F4358B4" w14:textId="2E669292"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rPr>
            </w:pPr>
            <w:r w:rsidRPr="009D0ED5">
              <w:rPr>
                <w:rFonts w:eastAsia="Calibri" w:cs="Segoe UI Historic"/>
                <w:sz w:val="20"/>
                <w:szCs w:val="20"/>
              </w:rPr>
              <w:t>Bifrost</w:t>
            </w:r>
            <w:r w:rsidRPr="009D0ED5">
              <w:rPr>
                <w:rFonts w:eastAsia="Calibri" w:cs="Segoe UI Historic"/>
                <w:sz w:val="20"/>
                <w:szCs w:val="20"/>
                <w:lang w:val="en-AU"/>
              </w:rPr>
              <w:t xml:space="preserve"> should be able to employ an incoming bandwidth of 1.7 Å taking up the </w:t>
            </w:r>
            <w:r w:rsidR="00F23D1E" w:rsidRPr="009D0ED5">
              <w:rPr>
                <w:rFonts w:eastAsia="Calibri" w:cs="Segoe UI Historic"/>
                <w:sz w:val="20"/>
                <w:szCs w:val="20"/>
                <w:lang w:val="en-AU"/>
              </w:rPr>
              <w:t>full-time</w:t>
            </w:r>
            <w:r w:rsidRPr="009D0ED5">
              <w:rPr>
                <w:rFonts w:eastAsia="Calibri" w:cs="Segoe UI Historic"/>
                <w:sz w:val="20"/>
                <w:szCs w:val="20"/>
                <w:lang w:val="en-AU"/>
              </w:rPr>
              <w:t xml:space="preserve"> interval between pulses at the sample position, having constant energy resolution within the frame and no frame overlap</w:t>
            </w:r>
            <w:r w:rsidRPr="009D0ED5">
              <w:rPr>
                <w:rFonts w:eastAsia="Calibri" w:cs="Segoe UI Historic"/>
                <w:sz w:val="20"/>
                <w:szCs w:val="20"/>
                <w:lang w:val="en-AU"/>
              </w:rPr>
              <w:br/>
            </w:r>
            <w:r w:rsidR="00F2402B" w:rsidRPr="009D0ED5">
              <w:rPr>
                <w:rFonts w:eastAsia="Calibri" w:cs="Segoe UI Historic"/>
                <w:sz w:val="20"/>
                <w:szCs w:val="20"/>
              </w:rPr>
              <w:br/>
            </w:r>
          </w:p>
        </w:tc>
      </w:tr>
      <w:tr w:rsidR="00B54E4A" w:rsidRPr="00B54E4A" w14:paraId="43D91B3D"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121E356A"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13.6.14.r4</w:t>
            </w:r>
          </w:p>
        </w:tc>
        <w:tc>
          <w:tcPr>
            <w:tcW w:w="7371" w:type="dxa"/>
            <w:tcBorders>
              <w:top w:val="nil"/>
              <w:left w:val="single" w:sz="4" w:space="0" w:color="auto"/>
              <w:bottom w:val="nil"/>
              <w:right w:val="single" w:sz="4" w:space="0" w:color="auto"/>
            </w:tcBorders>
            <w:hideMark/>
          </w:tcPr>
          <w:p w14:paraId="2BF3D257" w14:textId="5561B447"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rPr>
            </w:pPr>
            <w:r w:rsidRPr="009D0ED5">
              <w:rPr>
                <w:rFonts w:eastAsia="Calibri" w:cs="Segoe UI Historic"/>
                <w:sz w:val="20"/>
                <w:szCs w:val="20"/>
              </w:rPr>
              <w:t>For an incoming wavelength band 2.5-4 Å, Bifrost shall have a neutron flux larger than 10</w:t>
            </w:r>
            <w:r w:rsidRPr="009D0ED5">
              <w:rPr>
                <w:rFonts w:eastAsia="Calibri" w:cs="Segoe UI Historic"/>
                <w:sz w:val="20"/>
                <w:szCs w:val="20"/>
                <w:vertAlign w:val="superscript"/>
              </w:rPr>
              <w:t>10</w:t>
            </w:r>
            <w:r w:rsidRPr="009D0ED5">
              <w:rPr>
                <w:rFonts w:eastAsia="Calibri" w:cs="Segoe UI Historic"/>
                <w:sz w:val="20"/>
                <w:szCs w:val="20"/>
              </w:rPr>
              <w:t xml:space="preserve"> n/s/cm</w:t>
            </w:r>
            <w:r w:rsidRPr="009D0ED5">
              <w:rPr>
                <w:rFonts w:eastAsia="Calibri" w:cs="Segoe UI Historic"/>
                <w:sz w:val="20"/>
                <w:szCs w:val="20"/>
                <w:vertAlign w:val="superscript"/>
              </w:rPr>
              <w:t xml:space="preserve">2 </w:t>
            </w:r>
            <w:r w:rsidRPr="009D0ED5">
              <w:rPr>
                <w:rFonts w:eastAsia="Calibri" w:cs="Segoe UI Historic"/>
                <w:sz w:val="20"/>
                <w:szCs w:val="20"/>
              </w:rPr>
              <w:t>in coarse resolution mode, and 10</w:t>
            </w:r>
            <w:r w:rsidRPr="009D0ED5">
              <w:rPr>
                <w:rFonts w:eastAsia="Calibri" w:cs="Segoe UI Historic"/>
                <w:sz w:val="20"/>
                <w:szCs w:val="20"/>
                <w:vertAlign w:val="superscript"/>
              </w:rPr>
              <w:t>8</w:t>
            </w:r>
            <w:r w:rsidRPr="009D0ED5">
              <w:rPr>
                <w:rFonts w:eastAsia="Calibri" w:cs="Segoe UI Historic"/>
                <w:sz w:val="20"/>
                <w:szCs w:val="20"/>
              </w:rPr>
              <w:t xml:space="preserve"> n/s/cm</w:t>
            </w:r>
            <w:r w:rsidRPr="009D0ED5">
              <w:rPr>
                <w:rFonts w:eastAsia="Calibri" w:cs="Segoe UI Historic"/>
                <w:sz w:val="20"/>
                <w:szCs w:val="20"/>
                <w:vertAlign w:val="superscript"/>
              </w:rPr>
              <w:t xml:space="preserve">2 </w:t>
            </w:r>
            <w:r w:rsidRPr="009D0ED5">
              <w:rPr>
                <w:rFonts w:eastAsia="Calibri" w:cs="Segoe UI Historic"/>
                <w:sz w:val="20"/>
                <w:szCs w:val="20"/>
              </w:rPr>
              <w:t>in the finest resolution mode – at 5 MW</w:t>
            </w:r>
            <w:r w:rsidRPr="009D0ED5">
              <w:rPr>
                <w:rFonts w:eastAsia="Calibri" w:cs="Segoe UI Historic"/>
                <w:sz w:val="20"/>
                <w:szCs w:val="20"/>
              </w:rPr>
              <w:br/>
            </w:r>
            <w:r w:rsidR="00F2402B" w:rsidRPr="009D0ED5">
              <w:rPr>
                <w:rFonts w:eastAsia="Calibri" w:cs="Segoe UI Historic"/>
                <w:sz w:val="20"/>
                <w:szCs w:val="20"/>
              </w:rPr>
              <w:br/>
            </w:r>
          </w:p>
        </w:tc>
      </w:tr>
      <w:tr w:rsidR="00B54E4A" w:rsidRPr="00B54E4A" w14:paraId="00720DB5"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7AF6BF82"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13.6.14.r5</w:t>
            </w:r>
          </w:p>
        </w:tc>
        <w:tc>
          <w:tcPr>
            <w:tcW w:w="7371" w:type="dxa"/>
            <w:tcBorders>
              <w:top w:val="nil"/>
              <w:left w:val="single" w:sz="4" w:space="0" w:color="auto"/>
              <w:bottom w:val="nil"/>
              <w:right w:val="single" w:sz="4" w:space="0" w:color="auto"/>
            </w:tcBorders>
            <w:hideMark/>
          </w:tcPr>
          <w:p w14:paraId="671DE1F3" w14:textId="204DDC8B"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rPr>
            </w:pPr>
            <w:r w:rsidRPr="009D0ED5">
              <w:rPr>
                <w:rFonts w:eastAsia="Calibri" w:cs="Segoe UI Historic"/>
                <w:sz w:val="20"/>
                <w:szCs w:val="20"/>
              </w:rPr>
              <w:t>Bifrost shall allow cold spectroscopy studies on samples smaller than 1 mm</w:t>
            </w:r>
            <w:r w:rsidRPr="009D0ED5">
              <w:rPr>
                <w:rFonts w:eastAsia="Calibri" w:cs="Segoe UI Historic"/>
                <w:sz w:val="20"/>
                <w:szCs w:val="20"/>
                <w:vertAlign w:val="superscript"/>
              </w:rPr>
              <w:t xml:space="preserve">3 </w:t>
            </w:r>
            <w:r w:rsidRPr="009D0ED5">
              <w:rPr>
                <w:rFonts w:eastAsia="Calibri" w:cs="Segoe UI Historic"/>
                <w:sz w:val="20"/>
                <w:szCs w:val="20"/>
              </w:rPr>
              <w:t>and up to 20x20x20 mm</w:t>
            </w:r>
            <w:r w:rsidRPr="009D0ED5">
              <w:rPr>
                <w:rFonts w:eastAsia="Calibri" w:cs="Segoe UI Historic"/>
                <w:sz w:val="20"/>
                <w:szCs w:val="20"/>
                <w:vertAlign w:val="superscript"/>
              </w:rPr>
              <w:t>3</w:t>
            </w:r>
            <w:r w:rsidRPr="009D0ED5">
              <w:rPr>
                <w:rFonts w:eastAsia="Calibri" w:cs="Segoe UI Historic"/>
                <w:sz w:val="20"/>
                <w:szCs w:val="20"/>
              </w:rPr>
              <w:t>.</w:t>
            </w:r>
            <w:r w:rsidRPr="009D0ED5">
              <w:rPr>
                <w:rFonts w:eastAsia="Calibri" w:cs="Segoe UI Historic"/>
                <w:sz w:val="20"/>
                <w:szCs w:val="20"/>
              </w:rPr>
              <w:br/>
            </w:r>
            <w:r w:rsidR="00F2402B" w:rsidRPr="009D0ED5">
              <w:rPr>
                <w:rFonts w:eastAsia="Calibri" w:cs="Segoe UI Historic"/>
                <w:sz w:val="20"/>
                <w:szCs w:val="20"/>
              </w:rPr>
              <w:br/>
            </w:r>
          </w:p>
        </w:tc>
      </w:tr>
      <w:tr w:rsidR="00B54E4A" w:rsidRPr="00B54E4A" w14:paraId="67155EC0"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328497D8"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13.6.14.r6</w:t>
            </w:r>
          </w:p>
        </w:tc>
        <w:tc>
          <w:tcPr>
            <w:tcW w:w="7371" w:type="dxa"/>
            <w:tcBorders>
              <w:top w:val="nil"/>
              <w:left w:val="single" w:sz="4" w:space="0" w:color="auto"/>
              <w:bottom w:val="nil"/>
              <w:right w:val="single" w:sz="4" w:space="0" w:color="auto"/>
            </w:tcBorders>
            <w:hideMark/>
          </w:tcPr>
          <w:p w14:paraId="23C21110" w14:textId="4D310358"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rPr>
            </w:pPr>
            <w:r w:rsidRPr="009D0ED5">
              <w:rPr>
                <w:rFonts w:eastAsia="Calibri" w:cs="Segoe UI Historic"/>
                <w:sz w:val="20"/>
                <w:szCs w:val="20"/>
              </w:rPr>
              <w:t xml:space="preserve">At an incoming wavelength 1.2 Å, Bifrost shall have a neutron flux larger than 5 % of the flux at an incoming wavelength of 3 Å </w:t>
            </w:r>
            <w:r w:rsidRPr="009D0ED5">
              <w:rPr>
                <w:rFonts w:eastAsia="Calibri" w:cs="Segoe UI Historic"/>
                <w:sz w:val="20"/>
                <w:szCs w:val="20"/>
              </w:rPr>
              <w:br/>
            </w:r>
            <w:r w:rsidR="00F2402B" w:rsidRPr="009D0ED5">
              <w:rPr>
                <w:rFonts w:eastAsia="Calibri" w:cs="Segoe UI Historic"/>
                <w:sz w:val="20"/>
                <w:szCs w:val="20"/>
              </w:rPr>
              <w:br/>
            </w:r>
          </w:p>
        </w:tc>
      </w:tr>
      <w:tr w:rsidR="00B54E4A" w:rsidRPr="00B54E4A" w14:paraId="5455252F"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39E0DC55"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13.6.14.r7</w:t>
            </w:r>
          </w:p>
        </w:tc>
        <w:tc>
          <w:tcPr>
            <w:tcW w:w="7371" w:type="dxa"/>
            <w:tcBorders>
              <w:top w:val="nil"/>
              <w:left w:val="single" w:sz="4" w:space="0" w:color="auto"/>
              <w:bottom w:val="nil"/>
              <w:right w:val="single" w:sz="4" w:space="0" w:color="auto"/>
            </w:tcBorders>
            <w:hideMark/>
          </w:tcPr>
          <w:p w14:paraId="02716C52" w14:textId="344D4493"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rPr>
            </w:pPr>
            <w:r w:rsidRPr="009D0ED5">
              <w:rPr>
                <w:rFonts w:eastAsia="Calibri" w:cs="Segoe UI Historic"/>
                <w:sz w:val="20"/>
                <w:szCs w:val="20"/>
              </w:rPr>
              <w:t xml:space="preserve">Bifrost </w:t>
            </w:r>
            <w:r w:rsidRPr="009D0ED5">
              <w:rPr>
                <w:rFonts w:eastAsia="Calibri" w:cs="Segoe UI Historic"/>
                <w:sz w:val="20"/>
                <w:szCs w:val="20"/>
                <w:lang w:val="en-AU"/>
              </w:rPr>
              <w:t xml:space="preserve">shall be able to measure at least 4 scattered energies from the sample in a single </w:t>
            </w:r>
            <w:r w:rsidR="00F23D1E" w:rsidRPr="009D0ED5">
              <w:rPr>
                <w:rFonts w:eastAsia="Calibri" w:cs="Segoe UI Historic"/>
                <w:sz w:val="20"/>
                <w:szCs w:val="20"/>
                <w:lang w:val="en-AU"/>
              </w:rPr>
              <w:t>setting and</w:t>
            </w:r>
            <w:r w:rsidRPr="009D0ED5">
              <w:rPr>
                <w:rFonts w:eastAsia="Calibri" w:cs="Segoe UI Historic"/>
                <w:sz w:val="20"/>
                <w:szCs w:val="20"/>
                <w:lang w:val="en-AU"/>
              </w:rPr>
              <w:t xml:space="preserve"> designed to be upgraded to 5.</w:t>
            </w:r>
            <w:r w:rsidRPr="009D0ED5">
              <w:rPr>
                <w:rFonts w:eastAsia="Calibri" w:cs="Segoe UI Historic"/>
                <w:sz w:val="20"/>
                <w:szCs w:val="20"/>
                <w:lang w:val="en-AU"/>
              </w:rPr>
              <w:br/>
            </w:r>
            <w:r w:rsidR="00F2402B" w:rsidRPr="009D0ED5">
              <w:rPr>
                <w:rFonts w:eastAsia="Calibri" w:cs="Segoe UI Historic"/>
                <w:sz w:val="20"/>
                <w:szCs w:val="20"/>
              </w:rPr>
              <w:br/>
            </w:r>
          </w:p>
        </w:tc>
      </w:tr>
      <w:tr w:rsidR="00B54E4A" w:rsidRPr="00B54E4A" w14:paraId="032EFBE3"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61805A09"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13.6.14.r8</w:t>
            </w:r>
          </w:p>
        </w:tc>
        <w:tc>
          <w:tcPr>
            <w:tcW w:w="7371" w:type="dxa"/>
            <w:tcBorders>
              <w:top w:val="nil"/>
              <w:left w:val="single" w:sz="4" w:space="0" w:color="auto"/>
              <w:bottom w:val="nil"/>
              <w:right w:val="single" w:sz="4" w:space="0" w:color="auto"/>
            </w:tcBorders>
            <w:hideMark/>
          </w:tcPr>
          <w:p w14:paraId="140AF393" w14:textId="784BE821"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rPr>
              <w:t>Bifrost</w:t>
            </w:r>
            <w:r w:rsidRPr="009D0ED5">
              <w:rPr>
                <w:rFonts w:eastAsia="Calibri" w:cs="Segoe UI Historic"/>
                <w:sz w:val="20"/>
                <w:szCs w:val="20"/>
                <w:lang w:val="en-AU"/>
              </w:rPr>
              <w:t xml:space="preserve"> should fully cover a </w:t>
            </w:r>
            <w:r w:rsidR="00F23D1E" w:rsidRPr="009D0ED5">
              <w:rPr>
                <w:rFonts w:eastAsia="Calibri" w:cs="Segoe UI Historic"/>
                <w:sz w:val="20"/>
                <w:szCs w:val="20"/>
                <w:lang w:val="en-AU"/>
              </w:rPr>
              <w:t>90-degree</w:t>
            </w:r>
            <w:r w:rsidRPr="009D0ED5">
              <w:rPr>
                <w:rFonts w:eastAsia="Calibri" w:cs="Segoe UI Historic"/>
                <w:sz w:val="20"/>
                <w:szCs w:val="20"/>
                <w:lang w:val="en-AU"/>
              </w:rPr>
              <w:t xml:space="preserve"> scattering angle interval for all analyzer energies in two settings, and be able to reach scattering angles between 15-135 degrees</w:t>
            </w:r>
            <w:r w:rsidRPr="009D0ED5">
              <w:rPr>
                <w:rFonts w:eastAsia="Calibri" w:cs="Segoe UI Historic"/>
                <w:sz w:val="20"/>
                <w:szCs w:val="20"/>
                <w:lang w:val="en-AU"/>
              </w:rPr>
              <w:br/>
            </w:r>
          </w:p>
        </w:tc>
      </w:tr>
      <w:tr w:rsidR="00B54E4A" w:rsidRPr="00B54E4A" w14:paraId="302A13C7"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3C81F0C2"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13.6.14.r9</w:t>
            </w:r>
          </w:p>
        </w:tc>
        <w:tc>
          <w:tcPr>
            <w:tcW w:w="7371" w:type="dxa"/>
            <w:tcBorders>
              <w:top w:val="nil"/>
              <w:left w:val="single" w:sz="4" w:space="0" w:color="auto"/>
              <w:bottom w:val="nil"/>
              <w:right w:val="single" w:sz="4" w:space="0" w:color="auto"/>
            </w:tcBorders>
            <w:hideMark/>
          </w:tcPr>
          <w:p w14:paraId="5FFE0C48" w14:textId="2D00307F"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rPr>
              <w:t>Bifrost shall have an angular resolution in the horizontal plane down to 0.7 degrees (FWHM)</w:t>
            </w:r>
            <w:r w:rsidRPr="009D0ED5">
              <w:rPr>
                <w:rFonts w:eastAsia="Calibri" w:cs="Segoe UI Historic"/>
                <w:sz w:val="20"/>
                <w:szCs w:val="20"/>
              </w:rPr>
              <w:br/>
            </w:r>
            <w:r w:rsidR="00F2402B" w:rsidRPr="009D0ED5">
              <w:rPr>
                <w:rFonts w:eastAsia="Calibri" w:cs="Segoe UI Historic"/>
                <w:sz w:val="20"/>
                <w:szCs w:val="20"/>
                <w:lang w:val="en-AU"/>
              </w:rPr>
              <w:br/>
            </w:r>
          </w:p>
        </w:tc>
      </w:tr>
      <w:tr w:rsidR="00B54E4A" w:rsidRPr="00B54E4A" w14:paraId="70DE291C"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5945892A"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13.6.14.r10</w:t>
            </w:r>
          </w:p>
        </w:tc>
        <w:tc>
          <w:tcPr>
            <w:tcW w:w="7371" w:type="dxa"/>
            <w:tcBorders>
              <w:top w:val="nil"/>
              <w:left w:val="single" w:sz="4" w:space="0" w:color="auto"/>
              <w:bottom w:val="nil"/>
              <w:right w:val="single" w:sz="4" w:space="0" w:color="auto"/>
            </w:tcBorders>
            <w:hideMark/>
          </w:tcPr>
          <w:p w14:paraId="5BAC0239" w14:textId="59F407FF"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 xml:space="preserve">Bifrost shall be able to accommodate a vertical (horizontal) magnetic field of 15 T (10T) at the sample </w:t>
            </w:r>
            <w:r w:rsidR="00ED3F0A" w:rsidRPr="009D0ED5">
              <w:rPr>
                <w:rFonts w:eastAsia="Calibri" w:cs="Segoe UI Historic"/>
                <w:sz w:val="20"/>
                <w:szCs w:val="20"/>
                <w:lang w:val="en-AU"/>
              </w:rPr>
              <w:t>position and</w:t>
            </w:r>
            <w:r w:rsidRPr="009D0ED5">
              <w:rPr>
                <w:rFonts w:eastAsia="Calibri" w:cs="Segoe UI Historic"/>
                <w:sz w:val="20"/>
                <w:szCs w:val="20"/>
                <w:lang w:val="en-AU"/>
              </w:rPr>
              <w:t xml:space="preserve"> be easily upgradable to 35 T vertical field and 20 T horizontal field – allowing for a 0.9m diameter cryomagnet at the sample position.</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20D040CC"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15DC004D"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13.6.14.r11</w:t>
            </w:r>
          </w:p>
        </w:tc>
        <w:tc>
          <w:tcPr>
            <w:tcW w:w="7371" w:type="dxa"/>
            <w:tcBorders>
              <w:top w:val="nil"/>
              <w:left w:val="single" w:sz="4" w:space="0" w:color="auto"/>
              <w:bottom w:val="nil"/>
              <w:right w:val="single" w:sz="4" w:space="0" w:color="auto"/>
            </w:tcBorders>
            <w:hideMark/>
          </w:tcPr>
          <w:p w14:paraId="34043775" w14:textId="17797ED6"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 xml:space="preserve">Bifrost shall have an inelastic background of less than 30 cts/min on a single detector array belonging to a single analyser, as measured using the full ESS pulse and the 2.1-3.8 </w:t>
            </w:r>
            <w:r w:rsidR="00ED3F0A" w:rsidRPr="009D0ED5">
              <w:rPr>
                <w:rFonts w:eastAsia="Calibri" w:cs="Segoe UI Historic"/>
                <w:sz w:val="20"/>
                <w:szCs w:val="20"/>
                <w:lang w:val="en-AU"/>
              </w:rPr>
              <w:t>Å wavelength</w:t>
            </w:r>
            <w:r w:rsidRPr="009D0ED5">
              <w:rPr>
                <w:rFonts w:eastAsia="Calibri" w:cs="Segoe UI Historic"/>
                <w:sz w:val="20"/>
                <w:szCs w:val="20"/>
                <w:lang w:val="en-AU"/>
              </w:rPr>
              <w:t xml:space="preserve"> band on an empty ILL orange cryostat, using both radial collimation and Be-filtering. </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6A207110"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70529BE9"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13.6.14.r12</w:t>
            </w:r>
          </w:p>
        </w:tc>
        <w:tc>
          <w:tcPr>
            <w:tcW w:w="7371" w:type="dxa"/>
            <w:tcBorders>
              <w:top w:val="nil"/>
              <w:left w:val="single" w:sz="4" w:space="0" w:color="auto"/>
              <w:bottom w:val="nil"/>
              <w:right w:val="single" w:sz="4" w:space="0" w:color="auto"/>
            </w:tcBorders>
            <w:hideMark/>
          </w:tcPr>
          <w:p w14:paraId="2C3436A0" w14:textId="167887D2"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The detector ensemble belonging to any analyser shall not be able to detect scattering from any of the adjacent analysers (assuming 4 pi scattering off the analysers)</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1CD9AB12"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799E63F3"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lastRenderedPageBreak/>
              <w:t>13.6.14.r13</w:t>
            </w:r>
          </w:p>
        </w:tc>
        <w:tc>
          <w:tcPr>
            <w:tcW w:w="7371" w:type="dxa"/>
            <w:tcBorders>
              <w:top w:val="nil"/>
              <w:left w:val="single" w:sz="4" w:space="0" w:color="auto"/>
              <w:bottom w:val="nil"/>
              <w:right w:val="single" w:sz="4" w:space="0" w:color="auto"/>
            </w:tcBorders>
            <w:hideMark/>
          </w:tcPr>
          <w:p w14:paraId="4C6D6C1E" w14:textId="28FF375E"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Bifrost shall be upgradable to allow polarization and flipping of the incident white beam</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2D3D27B8"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658481CA"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13.6.14.r14</w:t>
            </w:r>
          </w:p>
        </w:tc>
        <w:tc>
          <w:tcPr>
            <w:tcW w:w="7371" w:type="dxa"/>
            <w:tcBorders>
              <w:top w:val="nil"/>
              <w:left w:val="single" w:sz="4" w:space="0" w:color="auto"/>
              <w:bottom w:val="nil"/>
              <w:right w:val="single" w:sz="4" w:space="0" w:color="auto"/>
            </w:tcBorders>
            <w:hideMark/>
          </w:tcPr>
          <w:p w14:paraId="277421B0" w14:textId="41D2CE17"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 xml:space="preserve">Bifrost shall allow a two-stage upgrade path for polarization analysis, using a He-3 filter in stage 1 and either Heusler analysers or </w:t>
            </w:r>
            <w:r w:rsidR="00ED3F0A" w:rsidRPr="009D0ED5">
              <w:rPr>
                <w:rFonts w:eastAsia="Calibri" w:cs="Segoe UI Historic"/>
                <w:sz w:val="20"/>
                <w:szCs w:val="20"/>
                <w:lang w:val="en-AU"/>
              </w:rPr>
              <w:t>wide-angle</w:t>
            </w:r>
            <w:r w:rsidRPr="009D0ED5">
              <w:rPr>
                <w:rFonts w:eastAsia="Calibri" w:cs="Segoe UI Historic"/>
                <w:sz w:val="20"/>
                <w:szCs w:val="20"/>
                <w:lang w:val="en-AU"/>
              </w:rPr>
              <w:t xml:space="preserve"> supermirrors in stage 2. </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6E44CCBA"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1E297BF6"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13.6.14.r15</w:t>
            </w:r>
          </w:p>
        </w:tc>
        <w:tc>
          <w:tcPr>
            <w:tcW w:w="7371" w:type="dxa"/>
            <w:tcBorders>
              <w:top w:val="nil"/>
              <w:left w:val="single" w:sz="4" w:space="0" w:color="auto"/>
              <w:bottom w:val="nil"/>
              <w:right w:val="single" w:sz="4" w:space="0" w:color="auto"/>
            </w:tcBorders>
            <w:hideMark/>
          </w:tcPr>
          <w:p w14:paraId="62C5A0A2" w14:textId="14148FE5"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Bifrost shall generally be designed to accommodate all types of sample environment equipment needed to meet the science case</w:t>
            </w:r>
            <w:r w:rsidR="00F2402B" w:rsidRPr="009D0ED5">
              <w:rPr>
                <w:rFonts w:eastAsia="Calibri" w:cs="Segoe UI Historic"/>
                <w:sz w:val="20"/>
                <w:szCs w:val="20"/>
                <w:lang w:val="en-AU"/>
              </w:rPr>
              <w:br/>
            </w:r>
          </w:p>
          <w:p w14:paraId="38855619" w14:textId="77777777"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p>
        </w:tc>
      </w:tr>
      <w:tr w:rsidR="00B54E4A" w:rsidRPr="00B54E4A" w14:paraId="396CF260"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606EFEFE"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13.6.14.r16</w:t>
            </w:r>
          </w:p>
        </w:tc>
        <w:tc>
          <w:tcPr>
            <w:tcW w:w="7371" w:type="dxa"/>
            <w:tcBorders>
              <w:top w:val="nil"/>
              <w:left w:val="single" w:sz="4" w:space="0" w:color="auto"/>
              <w:bottom w:val="nil"/>
              <w:right w:val="single" w:sz="4" w:space="0" w:color="auto"/>
            </w:tcBorders>
            <w:hideMark/>
          </w:tcPr>
          <w:p w14:paraId="1D394731" w14:textId="73E0EF0C"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Bifrost shall be upgradable to allow using the HOPG(004) reflections for energy transfer analysis</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42035F06" w14:textId="77777777" w:rsidTr="00B54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nil"/>
              <w:right w:val="single" w:sz="4" w:space="0" w:color="auto"/>
            </w:tcBorders>
            <w:hideMark/>
          </w:tcPr>
          <w:p w14:paraId="239B22F8"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13.6.14.r17</w:t>
            </w:r>
          </w:p>
        </w:tc>
        <w:tc>
          <w:tcPr>
            <w:tcW w:w="7371" w:type="dxa"/>
            <w:tcBorders>
              <w:top w:val="nil"/>
              <w:left w:val="single" w:sz="4" w:space="0" w:color="auto"/>
              <w:bottom w:val="nil"/>
              <w:right w:val="single" w:sz="4" w:space="0" w:color="auto"/>
            </w:tcBorders>
            <w:hideMark/>
          </w:tcPr>
          <w:p w14:paraId="1199529F" w14:textId="173F9BAB" w:rsidR="00B54E4A" w:rsidRPr="009D0ED5" w:rsidRDefault="00B54E4A" w:rsidP="00B54E4A">
            <w:pPr>
              <w:spacing w:after="0"/>
              <w:cnfStyle w:val="000000100000" w:firstRow="0" w:lastRow="0" w:firstColumn="0" w:lastColumn="0" w:oddVBand="0" w:evenVBand="0" w:oddHBand="1"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 xml:space="preserve">Bifrost should serve the user and science and instrumental development program without interruptions during source operation. </w:t>
            </w:r>
            <w:r w:rsidRPr="009D0ED5">
              <w:rPr>
                <w:rFonts w:eastAsia="Calibri" w:cs="Segoe UI Historic"/>
                <w:sz w:val="20"/>
                <w:szCs w:val="20"/>
                <w:lang w:val="en-AU"/>
              </w:rPr>
              <w:br/>
            </w:r>
            <w:r w:rsidR="00F2402B" w:rsidRPr="009D0ED5">
              <w:rPr>
                <w:rFonts w:eastAsia="Calibri" w:cs="Segoe UI Historic"/>
                <w:sz w:val="20"/>
                <w:szCs w:val="20"/>
                <w:lang w:val="en-AU"/>
              </w:rPr>
              <w:br/>
            </w:r>
          </w:p>
        </w:tc>
      </w:tr>
      <w:tr w:rsidR="00B54E4A" w:rsidRPr="00B54E4A" w14:paraId="67D61F19" w14:textId="77777777" w:rsidTr="00B54E4A">
        <w:tc>
          <w:tcPr>
            <w:cnfStyle w:val="001000000000" w:firstRow="0" w:lastRow="0" w:firstColumn="1" w:lastColumn="0" w:oddVBand="0" w:evenVBand="0" w:oddHBand="0" w:evenHBand="0" w:firstRowFirstColumn="0" w:firstRowLastColumn="0" w:lastRowFirstColumn="0" w:lastRowLastColumn="0"/>
            <w:tcW w:w="1691" w:type="dxa"/>
            <w:tcBorders>
              <w:top w:val="nil"/>
              <w:left w:val="single" w:sz="4" w:space="0" w:color="auto"/>
              <w:bottom w:val="single" w:sz="4" w:space="0" w:color="auto"/>
              <w:right w:val="single" w:sz="4" w:space="0" w:color="auto"/>
            </w:tcBorders>
            <w:hideMark/>
          </w:tcPr>
          <w:p w14:paraId="16614B0A" w14:textId="77777777" w:rsidR="00B54E4A" w:rsidRPr="009D0ED5" w:rsidRDefault="00B54E4A" w:rsidP="00B54E4A">
            <w:pPr>
              <w:spacing w:after="0"/>
              <w:rPr>
                <w:rFonts w:eastAsia="Calibri" w:cs="Segoe UI Historic"/>
                <w:sz w:val="20"/>
                <w:szCs w:val="20"/>
              </w:rPr>
            </w:pPr>
            <w:r w:rsidRPr="009D0ED5">
              <w:rPr>
                <w:rFonts w:eastAsia="Calibri" w:cs="Segoe UI Historic"/>
                <w:sz w:val="20"/>
                <w:szCs w:val="20"/>
              </w:rPr>
              <w:t>13.6.14.r18</w:t>
            </w:r>
          </w:p>
        </w:tc>
        <w:tc>
          <w:tcPr>
            <w:tcW w:w="7371" w:type="dxa"/>
            <w:tcBorders>
              <w:top w:val="nil"/>
              <w:left w:val="single" w:sz="4" w:space="0" w:color="auto"/>
              <w:bottom w:val="single" w:sz="4" w:space="0" w:color="auto"/>
              <w:right w:val="single" w:sz="4" w:space="0" w:color="auto"/>
            </w:tcBorders>
            <w:hideMark/>
          </w:tcPr>
          <w:p w14:paraId="2D887AA7" w14:textId="77777777" w:rsidR="00B54E4A" w:rsidRPr="009D0ED5" w:rsidRDefault="00B54E4A" w:rsidP="00B54E4A">
            <w:pPr>
              <w:spacing w:after="0"/>
              <w:cnfStyle w:val="000000000000" w:firstRow="0" w:lastRow="0" w:firstColumn="0" w:lastColumn="0" w:oddVBand="0" w:evenVBand="0" w:oddHBand="0" w:evenHBand="0" w:firstRowFirstColumn="0" w:firstRowLastColumn="0" w:lastRowFirstColumn="0" w:lastRowLastColumn="0"/>
              <w:rPr>
                <w:rFonts w:eastAsia="Calibri" w:cs="Segoe UI Historic"/>
                <w:sz w:val="20"/>
                <w:szCs w:val="20"/>
                <w:lang w:val="en-AU"/>
              </w:rPr>
            </w:pPr>
            <w:r w:rsidRPr="009D0ED5">
              <w:rPr>
                <w:rFonts w:eastAsia="Calibri" w:cs="Segoe UI Historic"/>
                <w:sz w:val="20"/>
                <w:szCs w:val="20"/>
                <w:lang w:val="en-AU"/>
              </w:rPr>
              <w:t>Bifrost shall allow a safe operation for both users and bystanders</w:t>
            </w:r>
          </w:p>
        </w:tc>
      </w:tr>
    </w:tbl>
    <w:p w14:paraId="5057E193" w14:textId="77777777" w:rsidR="00B54E4A" w:rsidRPr="00B54E4A" w:rsidRDefault="00B54E4A">
      <w:pPr>
        <w:spacing w:after="0"/>
        <w:rPr>
          <w:rFonts w:asciiTheme="minorHAnsi" w:hAnsiTheme="minorHAnsi" w:cstheme="minorHAnsi"/>
          <w:lang w:val="en-US"/>
        </w:rPr>
      </w:pPr>
    </w:p>
    <w:p w14:paraId="1D011160" w14:textId="6BC470C8" w:rsidR="00B54E4A" w:rsidRPr="00B42ACA" w:rsidRDefault="00030DB9">
      <w:pPr>
        <w:spacing w:after="0"/>
        <w:rPr>
          <w:rFonts w:cs="Segoe UI Historic"/>
        </w:rPr>
      </w:pPr>
      <w:r w:rsidRPr="00B42ACA">
        <w:rPr>
          <w:rFonts w:cs="Segoe UI Historic"/>
        </w:rPr>
        <w:t xml:space="preserve">Comments about the verification of the </w:t>
      </w:r>
      <w:r w:rsidR="00B42ACA" w:rsidRPr="00B42ACA">
        <w:rPr>
          <w:rFonts w:cs="Segoe UI Historic"/>
        </w:rPr>
        <w:t>high-level</w:t>
      </w:r>
      <w:r w:rsidRPr="00B42ACA">
        <w:rPr>
          <w:rFonts w:cs="Segoe UI Historic"/>
        </w:rPr>
        <w:t xml:space="preserve"> system requirements. </w:t>
      </w:r>
      <w:r w:rsidR="009029E4" w:rsidRPr="00B42ACA">
        <w:rPr>
          <w:rFonts w:cs="Segoe UI Historic"/>
        </w:rPr>
        <w:t xml:space="preserve">Requirements 13-18 are not verifiable in hot commissioning, 13 to 16 were design guides, and have been implemented, but they are not verifiable here. We thus focus on requirements 1-12 in this document. </w:t>
      </w:r>
    </w:p>
    <w:p w14:paraId="6215FE2B" w14:textId="77777777" w:rsidR="007D6F3E" w:rsidRPr="007D6F3E" w:rsidRDefault="007D6F3E" w:rsidP="00B42ACA">
      <w:pPr>
        <w:pStyle w:val="Heading2"/>
      </w:pPr>
      <w:bookmarkStart w:id="19" w:name="_Toc193364942"/>
      <w:bookmarkStart w:id="20" w:name="_Toc199928629"/>
      <w:r w:rsidRPr="007D6F3E">
        <w:t xml:space="preserve">Hot </w:t>
      </w:r>
      <w:r w:rsidRPr="00B42ACA">
        <w:t>Commisioning</w:t>
      </w:r>
      <w:r w:rsidRPr="007D6F3E">
        <w:t xml:space="preserve"> Plan</w:t>
      </w:r>
      <w:bookmarkEnd w:id="19"/>
      <w:bookmarkEnd w:id="20"/>
    </w:p>
    <w:p w14:paraId="00C4A8EB" w14:textId="5FA8B380" w:rsidR="007D6F3E" w:rsidRPr="00B42ACA" w:rsidRDefault="007D6F3E" w:rsidP="007D6F3E">
      <w:pPr>
        <w:rPr>
          <w:rFonts w:eastAsia="Calibri" w:cs="Segoe UI Historic"/>
          <w:lang w:val="en-US"/>
        </w:rPr>
      </w:pPr>
      <w:r w:rsidRPr="00B42ACA">
        <w:rPr>
          <w:rFonts w:eastAsia="Calibri" w:cs="Segoe UI Historic"/>
          <w:lang w:val="en-US"/>
        </w:rPr>
        <w:t xml:space="preserve">Hot commissioning will need to be carefully planned in order to demonstrate fulfilment of the high-level scientific requirements from the ConOps </w:t>
      </w:r>
      <w:r w:rsidR="00A30073" w:rsidRPr="00B42ACA">
        <w:rPr>
          <w:rFonts w:eastAsia="Calibri" w:cs="Segoe UI Historic"/>
          <w:lang w:val="en-US"/>
        </w:rPr>
        <w:t>[2]</w:t>
      </w:r>
      <w:r w:rsidRPr="00B42ACA">
        <w:rPr>
          <w:rFonts w:eastAsia="Calibri" w:cs="Segoe UI Historic"/>
          <w:lang w:val="en-US"/>
        </w:rPr>
        <w:t xml:space="preserve"> </w:t>
      </w:r>
    </w:p>
    <w:p w14:paraId="1390F087" w14:textId="7B9B494E" w:rsidR="007D6F3E" w:rsidRPr="00B42ACA" w:rsidRDefault="007D6F3E" w:rsidP="007D6F3E">
      <w:pPr>
        <w:spacing w:line="280" w:lineRule="atLeast"/>
        <w:rPr>
          <w:rFonts w:cs="Segoe UI Historic"/>
          <w:b/>
        </w:rPr>
      </w:pPr>
      <w:r w:rsidRPr="00B42ACA">
        <w:rPr>
          <w:rFonts w:eastAsia="Calibri" w:cs="Segoe UI Historic"/>
        </w:rPr>
        <w:t xml:space="preserve">A suite of simulations will be performed prior to hot commissioning in order to identify possible issues and interesting cases. </w:t>
      </w:r>
      <w:r w:rsidRPr="00B42ACA">
        <w:rPr>
          <w:rFonts w:cs="Segoe UI Historic"/>
          <w:b/>
          <w:bCs/>
        </w:rPr>
        <w:t>Many of these steps will be continuously repeated during the ramp-up of the proton beam.</w:t>
      </w:r>
    </w:p>
    <w:p w14:paraId="3A682484" w14:textId="77777777" w:rsidR="007D6F3E" w:rsidRPr="00B42ACA" w:rsidRDefault="007D6F3E" w:rsidP="007D6F3E">
      <w:pPr>
        <w:rPr>
          <w:rFonts w:eastAsia="Calibri" w:cs="Segoe UI Historic"/>
        </w:rPr>
      </w:pPr>
      <w:r w:rsidRPr="00B42ACA">
        <w:rPr>
          <w:rFonts w:cs="Segoe UI Historic"/>
        </w:rPr>
        <w:t>The envisaged activities for a successful hot commissioning are as follows:</w:t>
      </w:r>
    </w:p>
    <w:p w14:paraId="484DA725" w14:textId="77777777"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Fulfil radiation protection requirements </w:t>
      </w:r>
    </w:p>
    <w:p w14:paraId="5CBCDAB3" w14:textId="2F3D81D7"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Hot commissioning of beam monitors   </w:t>
      </w:r>
    </w:p>
    <w:p w14:paraId="541EEBFA" w14:textId="77777777"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Choppers verification</w:t>
      </w:r>
    </w:p>
    <w:p w14:paraId="414FC5B0" w14:textId="77777777"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Characterize beam profile </w:t>
      </w:r>
    </w:p>
    <w:p w14:paraId="2C5FD20C" w14:textId="77777777"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Characterization of collimation and sample positioning systems</w:t>
      </w:r>
    </w:p>
    <w:p w14:paraId="7309D96B" w14:textId="77777777"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Flight path calibration </w:t>
      </w:r>
    </w:p>
    <w:p w14:paraId="67DFFFA1" w14:textId="6BAA223F" w:rsidR="00570B76" w:rsidRPr="00B42ACA" w:rsidRDefault="00570B76" w:rsidP="00D23FD6">
      <w:pPr>
        <w:pStyle w:val="ListParagraph"/>
        <w:numPr>
          <w:ilvl w:val="0"/>
          <w:numId w:val="21"/>
        </w:numPr>
        <w:spacing w:before="120" w:line="280" w:lineRule="atLeast"/>
        <w:jc w:val="both"/>
        <w:rPr>
          <w:rFonts w:cs="Segoe UI Historic"/>
        </w:rPr>
      </w:pPr>
      <w:r w:rsidRPr="00B42ACA">
        <w:rPr>
          <w:rFonts w:cs="Segoe UI Historic"/>
        </w:rPr>
        <w:t>Gold foil measurements</w:t>
      </w:r>
    </w:p>
    <w:p w14:paraId="5BE6CD83" w14:textId="7ADE1B0A"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C</w:t>
      </w:r>
      <w:r w:rsidR="00570B76" w:rsidRPr="00B42ACA">
        <w:rPr>
          <w:rFonts w:cs="Segoe UI Historic"/>
        </w:rPr>
        <w:t xml:space="preserve">alibration of tank positioning </w:t>
      </w:r>
    </w:p>
    <w:p w14:paraId="61F4657A" w14:textId="79979288"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Calibration of detector </w:t>
      </w:r>
      <w:r w:rsidR="00570B76" w:rsidRPr="00B42ACA">
        <w:rPr>
          <w:rFonts w:cs="Segoe UI Historic"/>
        </w:rPr>
        <w:t>charge division</w:t>
      </w:r>
    </w:p>
    <w:p w14:paraId="40670D4E" w14:textId="7171ABB3"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Calibration of tank scattering angles </w:t>
      </w:r>
    </w:p>
    <w:p w14:paraId="43759EA0" w14:textId="2BCFC582" w:rsidR="007D6F3E" w:rsidRPr="00B42ACA" w:rsidRDefault="007D6F3E" w:rsidP="00D23FD6">
      <w:pPr>
        <w:pStyle w:val="ListParagraph"/>
        <w:numPr>
          <w:ilvl w:val="0"/>
          <w:numId w:val="21"/>
        </w:numPr>
        <w:spacing w:before="120" w:line="280" w:lineRule="atLeast"/>
        <w:jc w:val="both"/>
        <w:rPr>
          <w:rFonts w:cs="Segoe UI Historic"/>
        </w:rPr>
      </w:pPr>
      <w:r w:rsidRPr="00B42ACA">
        <w:rPr>
          <w:rFonts w:cs="Segoe UI Historic"/>
        </w:rPr>
        <w:t xml:space="preserve">Normalization validation </w:t>
      </w:r>
    </w:p>
    <w:p w14:paraId="159A8E00" w14:textId="6CF92450" w:rsidR="007D6F3E" w:rsidRPr="00B42ACA" w:rsidRDefault="00D706D6" w:rsidP="00D23FD6">
      <w:pPr>
        <w:pStyle w:val="ListParagraph"/>
        <w:numPr>
          <w:ilvl w:val="0"/>
          <w:numId w:val="21"/>
        </w:numPr>
        <w:spacing w:before="120" w:line="280" w:lineRule="atLeast"/>
        <w:jc w:val="both"/>
        <w:rPr>
          <w:rFonts w:cs="Segoe UI Historic"/>
        </w:rPr>
      </w:pPr>
      <w:r w:rsidRPr="00B42ACA">
        <w:rPr>
          <w:rFonts w:cs="Segoe UI Historic"/>
        </w:rPr>
        <w:t>Energy r</w:t>
      </w:r>
      <w:r w:rsidR="007D6F3E" w:rsidRPr="00B42ACA">
        <w:rPr>
          <w:rFonts w:cs="Segoe UI Historic"/>
        </w:rPr>
        <w:t>esolution validation</w:t>
      </w:r>
    </w:p>
    <w:p w14:paraId="151AE7C9" w14:textId="59C00F85" w:rsidR="00570B76" w:rsidRPr="00B42ACA" w:rsidRDefault="00570B76" w:rsidP="00D23FD6">
      <w:pPr>
        <w:pStyle w:val="ListParagraph"/>
        <w:numPr>
          <w:ilvl w:val="0"/>
          <w:numId w:val="21"/>
        </w:numPr>
        <w:spacing w:before="120" w:line="280" w:lineRule="atLeast"/>
        <w:jc w:val="both"/>
        <w:rPr>
          <w:rFonts w:cs="Segoe UI Historic"/>
        </w:rPr>
      </w:pPr>
      <w:r w:rsidRPr="00B42ACA">
        <w:rPr>
          <w:rFonts w:cs="Segoe UI Historic"/>
        </w:rPr>
        <w:t>Commissioning of sample environments</w:t>
      </w:r>
    </w:p>
    <w:p w14:paraId="7EDF8997" w14:textId="738A23D7" w:rsidR="00D706D6" w:rsidRPr="00B42ACA" w:rsidRDefault="00D706D6" w:rsidP="00D23FD6">
      <w:pPr>
        <w:pStyle w:val="ListParagraph"/>
        <w:numPr>
          <w:ilvl w:val="0"/>
          <w:numId w:val="21"/>
        </w:numPr>
        <w:spacing w:before="120" w:line="280" w:lineRule="atLeast"/>
        <w:jc w:val="both"/>
        <w:rPr>
          <w:rFonts w:cs="Segoe UI Historic"/>
        </w:rPr>
      </w:pPr>
      <w:r w:rsidRPr="00B42ACA">
        <w:rPr>
          <w:rFonts w:cs="Segoe UI Historic"/>
        </w:rPr>
        <w:t>Test sample measurement</w:t>
      </w:r>
    </w:p>
    <w:p w14:paraId="355158C8" w14:textId="77777777" w:rsidR="001427B1" w:rsidRDefault="001427B1">
      <w:pPr>
        <w:spacing w:after="0"/>
        <w:rPr>
          <w:rFonts w:eastAsiaTheme="majorEastAsia" w:cstheme="majorBidi"/>
          <w:b/>
          <w:bCs/>
          <w:szCs w:val="26"/>
        </w:rPr>
      </w:pPr>
      <w:bookmarkStart w:id="21" w:name="_Toc193364943"/>
      <w:r>
        <w:br w:type="page"/>
      </w:r>
    </w:p>
    <w:p w14:paraId="708300F0" w14:textId="5F78B8AB" w:rsidR="007D6F3E" w:rsidRPr="007D6F3E" w:rsidRDefault="007D6F3E" w:rsidP="008239CA">
      <w:pPr>
        <w:pStyle w:val="Heading2"/>
      </w:pPr>
      <w:bookmarkStart w:id="22" w:name="_Toc199928630"/>
      <w:r w:rsidRPr="007D6F3E">
        <w:lastRenderedPageBreak/>
        <w:t>Assumptions</w:t>
      </w:r>
      <w:bookmarkEnd w:id="21"/>
      <w:r w:rsidR="00273990">
        <w:t xml:space="preserve"> &amp; methodology</w:t>
      </w:r>
      <w:bookmarkEnd w:id="22"/>
      <w:r w:rsidRPr="007D6F3E">
        <w:t xml:space="preserve"> </w:t>
      </w:r>
    </w:p>
    <w:p w14:paraId="3497E20C" w14:textId="7DF97497" w:rsidR="00273990" w:rsidRPr="008239CA" w:rsidRDefault="007D6F3E" w:rsidP="007D6F3E">
      <w:pPr>
        <w:rPr>
          <w:rFonts w:cs="Segoe UI Historic"/>
          <w:color w:val="000000" w:themeColor="text1"/>
        </w:rPr>
      </w:pPr>
      <w:r w:rsidRPr="008239CA">
        <w:rPr>
          <w:rFonts w:cs="Segoe UI Historic"/>
        </w:rPr>
        <w:t>Before any of the following activities we expect that the instrument has undergone all verification activities that do not require neutrons following the Verification Plan in</w:t>
      </w:r>
      <w:r w:rsidR="00F20578" w:rsidRPr="008239CA">
        <w:rPr>
          <w:rFonts w:cs="Segoe UI Historic"/>
        </w:rPr>
        <w:t xml:space="preserve"> section</w:t>
      </w:r>
      <w:r w:rsidRPr="008239CA">
        <w:rPr>
          <w:rFonts w:cs="Segoe UI Historic"/>
        </w:rPr>
        <w:t xml:space="preserve"> </w:t>
      </w:r>
      <w:r w:rsidR="00F20578" w:rsidRPr="008239CA">
        <w:rPr>
          <w:rFonts w:cs="Segoe UI Historic"/>
        </w:rPr>
        <w:fldChar w:fldCharType="begin"/>
      </w:r>
      <w:r w:rsidR="00F20578" w:rsidRPr="008239CA">
        <w:rPr>
          <w:rFonts w:cs="Segoe UI Historic"/>
        </w:rPr>
        <w:instrText xml:space="preserve"> REF _Ref199876445 \r \h </w:instrText>
      </w:r>
      <w:r w:rsidR="008239CA">
        <w:rPr>
          <w:rFonts w:cs="Segoe UI Historic"/>
        </w:rPr>
        <w:instrText xml:space="preserve"> \* MERGEFORMAT </w:instrText>
      </w:r>
      <w:r w:rsidR="00F20578" w:rsidRPr="008239CA">
        <w:rPr>
          <w:rFonts w:cs="Segoe UI Historic"/>
        </w:rPr>
      </w:r>
      <w:r w:rsidR="00F20578" w:rsidRPr="008239CA">
        <w:rPr>
          <w:rFonts w:cs="Segoe UI Historic"/>
        </w:rPr>
        <w:fldChar w:fldCharType="separate"/>
      </w:r>
      <w:r w:rsidR="00F20578" w:rsidRPr="008239CA">
        <w:rPr>
          <w:rFonts w:cs="Segoe UI Historic"/>
        </w:rPr>
        <w:t>2</w:t>
      </w:r>
      <w:r w:rsidR="00F20578" w:rsidRPr="008239CA">
        <w:rPr>
          <w:rFonts w:cs="Segoe UI Historic"/>
        </w:rPr>
        <w:fldChar w:fldCharType="end"/>
      </w:r>
      <w:r w:rsidR="00F20578" w:rsidRPr="008239CA">
        <w:rPr>
          <w:rFonts w:cs="Segoe UI Historic"/>
        </w:rPr>
        <w:t xml:space="preserve">. </w:t>
      </w:r>
      <w:r w:rsidRPr="008239CA">
        <w:rPr>
          <w:rFonts w:cs="Segoe UI Historic"/>
        </w:rPr>
        <w:t xml:space="preserve">The hardware will have undergone cold commissioning, survey (including detailed survey of the detector panels) and alignment. All of the software will have been tested for motion control, the data acquisition stream and the data reduction pipeline. </w:t>
      </w:r>
      <w:r w:rsidRPr="008239CA">
        <w:rPr>
          <w:rFonts w:cs="Segoe UI Historic"/>
          <w:color w:val="000000" w:themeColor="text1"/>
        </w:rPr>
        <w:t xml:space="preserve">A variety of McStas simulations will be available to help verify particular instrument set-ups. </w:t>
      </w:r>
      <w:r w:rsidR="00273990" w:rsidRPr="008239CA">
        <w:rPr>
          <w:rFonts w:cs="Segoe UI Historic"/>
          <w:color w:val="000000" w:themeColor="text1"/>
        </w:rPr>
        <w:br/>
      </w:r>
      <w:r w:rsidR="00273990" w:rsidRPr="008239CA">
        <w:rPr>
          <w:rFonts w:cs="Segoe UI Historic"/>
          <w:color w:val="000000" w:themeColor="text1"/>
        </w:rPr>
        <w:br/>
        <w:t xml:space="preserve">The plan described in the following will be outlined in chronological order, in order </w:t>
      </w:r>
      <w:r w:rsidR="00464DD0" w:rsidRPr="008239CA">
        <w:rPr>
          <w:rFonts w:cs="Segoe UI Historic"/>
          <w:color w:val="000000" w:themeColor="text1"/>
        </w:rPr>
        <w:t>to make the interdependencies</w:t>
      </w:r>
      <w:r w:rsidR="001B6E0D" w:rsidRPr="008239CA">
        <w:rPr>
          <w:rFonts w:cs="Segoe UI Historic"/>
          <w:color w:val="000000" w:themeColor="text1"/>
        </w:rPr>
        <w:t xml:space="preserve"> clear</w:t>
      </w:r>
      <w:r w:rsidR="00464DD0" w:rsidRPr="008239CA">
        <w:rPr>
          <w:rFonts w:cs="Segoe UI Historic"/>
          <w:color w:val="000000" w:themeColor="text1"/>
        </w:rPr>
        <w:t>. For</w:t>
      </w:r>
      <w:r w:rsidR="001B6E0D" w:rsidRPr="008239CA">
        <w:rPr>
          <w:rFonts w:cs="Segoe UI Historic"/>
          <w:color w:val="000000" w:themeColor="text1"/>
        </w:rPr>
        <w:t xml:space="preserve"> each </w:t>
      </w:r>
      <w:r w:rsidR="00DC60C1" w:rsidRPr="008239CA">
        <w:rPr>
          <w:rFonts w:cs="Segoe UI Historic"/>
          <w:color w:val="000000" w:themeColor="text1"/>
        </w:rPr>
        <w:t xml:space="preserve">overall </w:t>
      </w:r>
      <w:r w:rsidR="001B6E0D" w:rsidRPr="008239CA">
        <w:rPr>
          <w:rFonts w:cs="Segoe UI Historic"/>
          <w:color w:val="000000" w:themeColor="text1"/>
        </w:rPr>
        <w:t>activity, the components and people involved</w:t>
      </w:r>
      <w:r w:rsidR="00DC60C1" w:rsidRPr="008239CA">
        <w:rPr>
          <w:rFonts w:cs="Segoe UI Historic"/>
          <w:color w:val="000000" w:themeColor="text1"/>
        </w:rPr>
        <w:t xml:space="preserve"> are noted. The </w:t>
      </w:r>
      <w:r w:rsidR="00F41B5F" w:rsidRPr="008239CA">
        <w:rPr>
          <w:rFonts w:cs="Segoe UI Historic"/>
          <w:color w:val="000000" w:themeColor="text1"/>
        </w:rPr>
        <w:t>assumed plan for accelerator is the following</w:t>
      </w:r>
    </w:p>
    <w:p w14:paraId="042FB905" w14:textId="4950556B"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12 weeks test beam, 1 Hz, 5 us, 17 W (3 months)</w:t>
      </w:r>
    </w:p>
    <w:p w14:paraId="7AF2097D" w14:textId="1B7669E3" w:rsidR="00F41B5F" w:rsidRPr="008239CA" w:rsidRDefault="00F41B5F" w:rsidP="00D23FD6">
      <w:pPr>
        <w:pStyle w:val="ListParagraph"/>
        <w:numPr>
          <w:ilvl w:val="0"/>
          <w:numId w:val="39"/>
        </w:numPr>
        <w:rPr>
          <w:rFonts w:cs="Segoe UI Historic"/>
          <w:b/>
          <w:bCs/>
          <w:color w:val="000000" w:themeColor="text1"/>
        </w:rPr>
      </w:pPr>
      <w:r w:rsidRPr="008239CA">
        <w:rPr>
          <w:rFonts w:cs="Segoe UI Historic"/>
          <w:color w:val="000000" w:themeColor="text1"/>
        </w:rPr>
        <w:t xml:space="preserve">4 weeks with </w:t>
      </w:r>
      <w:r w:rsidRPr="008239CA">
        <w:rPr>
          <w:rFonts w:cs="Segoe UI Historic"/>
          <w:b/>
          <w:bCs/>
          <w:color w:val="000000" w:themeColor="text1"/>
        </w:rPr>
        <w:t>8 beam days</w:t>
      </w:r>
      <w:r w:rsidRPr="008239CA">
        <w:rPr>
          <w:rFonts w:cs="Segoe UI Historic"/>
          <w:color w:val="000000" w:themeColor="text1"/>
        </w:rPr>
        <w:t xml:space="preserve">, </w:t>
      </w:r>
      <w:r w:rsidRPr="008239CA">
        <w:rPr>
          <w:rFonts w:cs="Segoe UI Historic"/>
          <w:b/>
          <w:bCs/>
          <w:color w:val="000000" w:themeColor="text1"/>
        </w:rPr>
        <w:t>140 kW (1 month)</w:t>
      </w:r>
    </w:p>
    <w:p w14:paraId="3B566029" w14:textId="3919972E"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14 week shutdown (3.5 months)</w:t>
      </w:r>
    </w:p>
    <w:p w14:paraId="734EBE14" w14:textId="3F49AE42"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 xml:space="preserve">14 weeks with </w:t>
      </w:r>
      <w:r w:rsidRPr="008239CA">
        <w:rPr>
          <w:rFonts w:cs="Segoe UI Historic"/>
          <w:b/>
          <w:bCs/>
          <w:color w:val="000000" w:themeColor="text1"/>
        </w:rPr>
        <w:t>28 beam days, 270 kW (3.5 months)</w:t>
      </w:r>
    </w:p>
    <w:p w14:paraId="40223DD2" w14:textId="26726BC8"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11 week shutdown (2.5 months)</w:t>
      </w:r>
    </w:p>
    <w:p w14:paraId="6E6CDB56" w14:textId="13F63876"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 xml:space="preserve">16 weeks with </w:t>
      </w:r>
      <w:r w:rsidRPr="008239CA">
        <w:rPr>
          <w:rFonts w:cs="Segoe UI Historic"/>
          <w:b/>
          <w:bCs/>
          <w:color w:val="000000" w:themeColor="text1"/>
        </w:rPr>
        <w:t>40 beam days, 570 kW (4 months)</w:t>
      </w:r>
    </w:p>
    <w:p w14:paraId="077A079E" w14:textId="6F896BFF"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8 week shutdown (2 months)</w:t>
      </w:r>
    </w:p>
    <w:p w14:paraId="1B50FC11" w14:textId="55AB0832" w:rsidR="00F41B5F" w:rsidRPr="008239CA" w:rsidRDefault="00F41B5F" w:rsidP="00D23FD6">
      <w:pPr>
        <w:pStyle w:val="ListParagraph"/>
        <w:numPr>
          <w:ilvl w:val="0"/>
          <w:numId w:val="39"/>
        </w:numPr>
        <w:rPr>
          <w:rFonts w:cs="Segoe UI Historic"/>
          <w:color w:val="000000" w:themeColor="text1"/>
        </w:rPr>
      </w:pPr>
      <w:r w:rsidRPr="008239CA">
        <w:rPr>
          <w:rFonts w:cs="Segoe UI Historic"/>
          <w:color w:val="000000" w:themeColor="text1"/>
        </w:rPr>
        <w:t>8 weeks</w:t>
      </w:r>
      <w:r w:rsidRPr="008239CA">
        <w:rPr>
          <w:rFonts w:cs="Segoe UI Historic"/>
          <w:b/>
          <w:bCs/>
          <w:color w:val="000000" w:themeColor="text1"/>
        </w:rPr>
        <w:t xml:space="preserve"> 44 beam days, 570 kW (2 months)</w:t>
      </w:r>
    </w:p>
    <w:p w14:paraId="1066DB5B" w14:textId="0EC9797A" w:rsidR="00F41B5F" w:rsidRPr="008239CA" w:rsidRDefault="00F41B5F" w:rsidP="00F41B5F">
      <w:pPr>
        <w:rPr>
          <w:rFonts w:cs="Segoe UI Historic"/>
          <w:color w:val="000000" w:themeColor="text1"/>
        </w:rPr>
      </w:pPr>
      <w:r w:rsidRPr="008239CA">
        <w:rPr>
          <w:rFonts w:cs="Segoe UI Historic"/>
          <w:b/>
          <w:bCs/>
          <w:color w:val="000000" w:themeColor="text1"/>
        </w:rPr>
        <w:t>Total duration in real time:  21.5 months, roughly 1 year and 9 months</w:t>
      </w:r>
    </w:p>
    <w:p w14:paraId="4E116D02" w14:textId="77777777" w:rsidR="007D6F3E" w:rsidRPr="007D6F3E" w:rsidRDefault="007D6F3E" w:rsidP="008239CA">
      <w:pPr>
        <w:pStyle w:val="Heading2"/>
      </w:pPr>
      <w:bookmarkStart w:id="23" w:name="_Toc193364944"/>
      <w:bookmarkStart w:id="24" w:name="_Toc199928631"/>
      <w:r w:rsidRPr="007D6F3E">
        <w:t xml:space="preserve">Fulfil radiation </w:t>
      </w:r>
      <w:r w:rsidRPr="008239CA">
        <w:t>protection</w:t>
      </w:r>
      <w:r w:rsidRPr="007D6F3E">
        <w:t xml:space="preserve"> requirements</w:t>
      </w:r>
      <w:bookmarkEnd w:id="23"/>
      <w:bookmarkEnd w:id="24"/>
      <w:r w:rsidRPr="007D6F3E">
        <w:t xml:space="preserve"> </w:t>
      </w:r>
    </w:p>
    <w:p w14:paraId="0D8FCBDB" w14:textId="77777777" w:rsidR="007D6F3E" w:rsidRPr="008239CA" w:rsidRDefault="007D6F3E" w:rsidP="00D23FD6">
      <w:pPr>
        <w:pStyle w:val="ListParagraph"/>
        <w:numPr>
          <w:ilvl w:val="0"/>
          <w:numId w:val="20"/>
        </w:numPr>
        <w:spacing w:before="120" w:line="280" w:lineRule="atLeast"/>
        <w:jc w:val="both"/>
        <w:rPr>
          <w:rFonts w:cs="Segoe UI Historic"/>
          <w:i/>
        </w:rPr>
      </w:pPr>
      <w:r w:rsidRPr="008239CA">
        <w:rPr>
          <w:rFonts w:cs="Segoe UI Historic"/>
          <w:i/>
        </w:rPr>
        <w:t xml:space="preserve">Key personnel: RP, PSS, and the instrument team </w:t>
      </w:r>
    </w:p>
    <w:p w14:paraId="608C5A23" w14:textId="77777777" w:rsidR="007D6F3E" w:rsidRPr="008239CA" w:rsidRDefault="007D6F3E" w:rsidP="00D23FD6">
      <w:pPr>
        <w:pStyle w:val="ListParagraph"/>
        <w:numPr>
          <w:ilvl w:val="0"/>
          <w:numId w:val="20"/>
        </w:numPr>
        <w:spacing w:before="120" w:line="280" w:lineRule="atLeast"/>
        <w:jc w:val="both"/>
        <w:rPr>
          <w:rFonts w:cs="Segoe UI Historic"/>
          <w:i/>
        </w:rPr>
      </w:pPr>
      <w:r w:rsidRPr="008239CA">
        <w:rPr>
          <w:rFonts w:cs="Segoe UI Historic"/>
          <w:i/>
        </w:rPr>
        <w:t>Requirements/assumptions: Successful cold commissioning, accelerator stable enough for the duration of each test measurement</w:t>
      </w:r>
    </w:p>
    <w:p w14:paraId="036AD8CB" w14:textId="5C4947AF" w:rsidR="007D6F3E" w:rsidRPr="007D6F3E" w:rsidRDefault="005977E2" w:rsidP="005977E2">
      <w:pPr>
        <w:pStyle w:val="Heading3"/>
      </w:pPr>
      <w:bookmarkStart w:id="25" w:name="_Toc193364945"/>
      <w:r>
        <w:t xml:space="preserve"> </w:t>
      </w:r>
      <w:bookmarkStart w:id="26" w:name="_Toc199928632"/>
      <w:r w:rsidR="007D6F3E" w:rsidRPr="007D6F3E">
        <w:t xml:space="preserve">Instrument </w:t>
      </w:r>
      <w:r w:rsidR="007D6F3E">
        <w:t xml:space="preserve">thermal </w:t>
      </w:r>
      <w:r w:rsidR="007D6F3E" w:rsidRPr="007D6F3E">
        <w:t>shutter</w:t>
      </w:r>
      <w:bookmarkEnd w:id="25"/>
      <w:r w:rsidR="00E326D2">
        <w:t xml:space="preserve"> (4 days)</w:t>
      </w:r>
      <w:bookmarkEnd w:id="26"/>
    </w:p>
    <w:p w14:paraId="5BCBEB44" w14:textId="77777777" w:rsidR="00714F0C" w:rsidRPr="005977E2" w:rsidRDefault="007D6F3E" w:rsidP="007D6F3E">
      <w:pPr>
        <w:spacing w:line="280" w:lineRule="atLeast"/>
        <w:rPr>
          <w:rFonts w:eastAsia="Calibri" w:cs="Segoe UI Historic"/>
        </w:rPr>
      </w:pPr>
      <w:r w:rsidRPr="005977E2">
        <w:rPr>
          <w:rFonts w:eastAsia="Calibri" w:cs="Segoe UI Historic"/>
        </w:rPr>
        <w:t xml:space="preserve">Hot commissioning of the </w:t>
      </w:r>
      <w:r w:rsidR="00714F0C" w:rsidRPr="005977E2">
        <w:rPr>
          <w:rFonts w:eastAsia="Calibri" w:cs="Segoe UI Historic"/>
        </w:rPr>
        <w:t>thermal</w:t>
      </w:r>
      <w:r w:rsidRPr="005977E2">
        <w:rPr>
          <w:rFonts w:eastAsia="Calibri" w:cs="Segoe UI Historic"/>
        </w:rPr>
        <w:t xml:space="preserve"> shutter is the responsibility </w:t>
      </w:r>
      <w:r w:rsidRPr="005977E2">
        <w:rPr>
          <w:rFonts w:cs="Segoe UI Historic"/>
        </w:rPr>
        <w:t>of the instrument team, in collaboration with the RP and PSS teams</w:t>
      </w:r>
      <w:r w:rsidRPr="005977E2">
        <w:rPr>
          <w:rFonts w:eastAsia="Calibri" w:cs="Segoe UI Historic"/>
        </w:rPr>
        <w:t xml:space="preserve">. </w:t>
      </w:r>
      <w:r w:rsidR="00714F0C" w:rsidRPr="005977E2">
        <w:rPr>
          <w:rFonts w:eastAsia="Calibri" w:cs="Segoe UI Historic"/>
        </w:rPr>
        <w:t xml:space="preserve"> We need the following:</w:t>
      </w:r>
    </w:p>
    <w:p w14:paraId="517D9E97" w14:textId="5D05F413" w:rsidR="00714F0C" w:rsidRPr="005977E2" w:rsidRDefault="00714F0C" w:rsidP="00D23FD6">
      <w:pPr>
        <w:pStyle w:val="ListParagraph"/>
        <w:numPr>
          <w:ilvl w:val="0"/>
          <w:numId w:val="22"/>
        </w:numPr>
        <w:spacing w:line="280" w:lineRule="atLeast"/>
        <w:rPr>
          <w:rFonts w:eastAsia="Calibri" w:cs="Segoe UI Historic"/>
        </w:rPr>
      </w:pPr>
      <w:r w:rsidRPr="005977E2">
        <w:rPr>
          <w:rFonts w:eastAsia="Calibri" w:cs="Segoe UI Historic"/>
        </w:rPr>
        <w:t xml:space="preserve">Verify that the shutter has a high neutron attenuation by putting a neutron camera at the end of the guide, when the shutter is closed. </w:t>
      </w:r>
    </w:p>
    <w:p w14:paraId="41F7F5BB" w14:textId="6FD38ED3" w:rsidR="00714F0C" w:rsidRPr="005977E2" w:rsidRDefault="00714F0C" w:rsidP="00D23FD6">
      <w:pPr>
        <w:pStyle w:val="ListParagraph"/>
        <w:numPr>
          <w:ilvl w:val="0"/>
          <w:numId w:val="22"/>
        </w:numPr>
        <w:spacing w:line="280" w:lineRule="atLeast"/>
        <w:rPr>
          <w:rFonts w:eastAsia="Calibri" w:cs="Segoe UI Historic"/>
        </w:rPr>
      </w:pPr>
      <w:r w:rsidRPr="005977E2">
        <w:rPr>
          <w:rFonts w:eastAsia="Calibri" w:cs="Segoe UI Historic"/>
        </w:rPr>
        <w:t>Verify a low dose rate in the BW chopper pit</w:t>
      </w:r>
      <w:r w:rsidR="00F20578" w:rsidRPr="005977E2">
        <w:rPr>
          <w:rFonts w:eastAsia="Calibri" w:cs="Segoe UI Historic"/>
        </w:rPr>
        <w:t xml:space="preserve"> (scaled to below 3 uSv/h at 5 MW)</w:t>
      </w:r>
      <w:r w:rsidRPr="005977E2">
        <w:rPr>
          <w:rFonts w:eastAsia="Calibri" w:cs="Segoe UI Historic"/>
        </w:rPr>
        <w:t>, when the shutter is closed using a dosimeter</w:t>
      </w:r>
    </w:p>
    <w:p w14:paraId="350BA2B0" w14:textId="552D2410" w:rsidR="007D6F3E" w:rsidRPr="005977E2" w:rsidRDefault="00714F0C" w:rsidP="00D23FD6">
      <w:pPr>
        <w:pStyle w:val="ListParagraph"/>
        <w:numPr>
          <w:ilvl w:val="0"/>
          <w:numId w:val="22"/>
        </w:numPr>
        <w:spacing w:line="280" w:lineRule="atLeast"/>
        <w:rPr>
          <w:rFonts w:eastAsia="Calibri" w:cs="Segoe UI Historic"/>
        </w:rPr>
      </w:pPr>
      <w:r w:rsidRPr="005977E2">
        <w:rPr>
          <w:rFonts w:eastAsia="Calibri" w:cs="Segoe UI Historic"/>
        </w:rPr>
        <w:t>Verify the radiation levels near the shutter enclosure when the shutter is closed, ensuring that the shielding is sufficient for the high gamma intensity at the shutter point. This is also using a dosimeter.</w:t>
      </w:r>
    </w:p>
    <w:p w14:paraId="1A6D0398" w14:textId="6FC9A21E" w:rsidR="007D6F3E" w:rsidRPr="007D6F3E" w:rsidRDefault="00D72B53" w:rsidP="00D72B53">
      <w:pPr>
        <w:pStyle w:val="Heading3"/>
      </w:pPr>
      <w:bookmarkStart w:id="27" w:name="_Toc193364946"/>
      <w:r>
        <w:lastRenderedPageBreak/>
        <w:t xml:space="preserve"> </w:t>
      </w:r>
      <w:bookmarkStart w:id="28" w:name="_Toc199928633"/>
      <w:r w:rsidR="007D6F3E" w:rsidRPr="00D72B53">
        <w:t>Cave</w:t>
      </w:r>
      <w:r w:rsidR="007D6F3E" w:rsidRPr="007D6F3E">
        <w:t xml:space="preserve"> and </w:t>
      </w:r>
      <w:r w:rsidR="00923830">
        <w:t>guide shielding</w:t>
      </w:r>
      <w:r w:rsidR="007D6F3E" w:rsidRPr="007D6F3E">
        <w:t xml:space="preserve"> structure</w:t>
      </w:r>
      <w:bookmarkEnd w:id="27"/>
      <w:r w:rsidR="007D6F3E" w:rsidRPr="007D6F3E">
        <w:t xml:space="preserve"> </w:t>
      </w:r>
      <w:r w:rsidR="00E326D2">
        <w:t>(3 days)</w:t>
      </w:r>
      <w:bookmarkEnd w:id="28"/>
    </w:p>
    <w:p w14:paraId="3F8F2627" w14:textId="77777777" w:rsidR="00DB1A57" w:rsidRPr="00BD4F83" w:rsidRDefault="007D6F3E" w:rsidP="007D6F3E">
      <w:pPr>
        <w:keepNext/>
        <w:spacing w:line="280" w:lineRule="atLeast"/>
        <w:outlineLvl w:val="1"/>
        <w:rPr>
          <w:rFonts w:eastAsia="Calibri" w:cs="Segoe UI Historic"/>
        </w:rPr>
      </w:pPr>
      <w:r w:rsidRPr="00BD4F83">
        <w:rPr>
          <w:rFonts w:eastAsia="Calibri" w:cs="Segoe UI Historic"/>
        </w:rPr>
        <w:t xml:space="preserve">It is assumed that the functionality of the doors, roof and PSS systems are cold commissioned when hot commissioning commences. </w:t>
      </w:r>
    </w:p>
    <w:p w14:paraId="26F60711" w14:textId="0C39A7B8" w:rsidR="00DB1A57" w:rsidRPr="00BD4F83" w:rsidRDefault="00DB1A57" w:rsidP="007D6F3E">
      <w:pPr>
        <w:keepNext/>
        <w:spacing w:line="280" w:lineRule="atLeast"/>
        <w:outlineLvl w:val="1"/>
        <w:rPr>
          <w:rFonts w:eastAsia="Calibri" w:cs="Segoe UI Historic"/>
        </w:rPr>
      </w:pPr>
      <w:r w:rsidRPr="00BD4F83">
        <w:rPr>
          <w:rFonts w:eastAsia="Calibri" w:cs="Segoe UI Historic"/>
        </w:rPr>
        <w:t>The guide and bunker shielding should be tested using the</w:t>
      </w:r>
      <w:r w:rsidR="00F23574" w:rsidRPr="00BD4F83">
        <w:rPr>
          <w:rFonts w:eastAsia="Calibri" w:cs="Segoe UI Historic"/>
        </w:rPr>
        <w:t xml:space="preserve"> Accidentally Unchopped Beam</w:t>
      </w:r>
      <w:r w:rsidR="00923830" w:rsidRPr="00BD4F83">
        <w:rPr>
          <w:rFonts w:eastAsia="Calibri" w:cs="Segoe UI Historic"/>
        </w:rPr>
        <w:t xml:space="preserve"> (AUB)</w:t>
      </w:r>
      <w:r w:rsidR="00F23574" w:rsidRPr="00BD4F83">
        <w:rPr>
          <w:rFonts w:eastAsia="Calibri" w:cs="Segoe UI Historic"/>
        </w:rPr>
        <w:t xml:space="preserve">, as described in the BIFROST hazard scenario document [5] – as the radiation levels produced by this beam has been thoroughly simulated. </w:t>
      </w:r>
    </w:p>
    <w:p w14:paraId="35126F72" w14:textId="228DD1C9" w:rsidR="00923830" w:rsidRPr="00BD4F83" w:rsidRDefault="00923830" w:rsidP="007D6F3E">
      <w:pPr>
        <w:keepNext/>
        <w:spacing w:line="280" w:lineRule="atLeast"/>
        <w:outlineLvl w:val="1"/>
        <w:rPr>
          <w:rFonts w:eastAsia="Calibri" w:cs="Segoe UI Historic"/>
          <w:i/>
          <w:iCs/>
        </w:rPr>
      </w:pPr>
      <w:r w:rsidRPr="00BD4F83">
        <w:rPr>
          <w:rFonts w:eastAsia="Calibri" w:cs="Segoe UI Historic"/>
          <w:i/>
          <w:iCs/>
        </w:rPr>
        <w:t>For the guide</w:t>
      </w:r>
      <w:r w:rsidR="001B6E0D" w:rsidRPr="00BD4F83">
        <w:rPr>
          <w:rFonts w:eastAsia="Calibri" w:cs="Segoe UI Historic"/>
          <w:i/>
          <w:iCs/>
        </w:rPr>
        <w:t xml:space="preserve"> </w:t>
      </w:r>
      <w:r w:rsidRPr="00BD4F83">
        <w:rPr>
          <w:rFonts w:eastAsia="Calibri" w:cs="Segoe UI Historic"/>
          <w:i/>
          <w:iCs/>
        </w:rPr>
        <w:t>shielding:</w:t>
      </w:r>
    </w:p>
    <w:p w14:paraId="668B8EF4" w14:textId="77777777" w:rsidR="00923830" w:rsidRPr="00BD4F83" w:rsidRDefault="00923830" w:rsidP="00D23FD6">
      <w:pPr>
        <w:pStyle w:val="ListParagraph"/>
        <w:keepNext/>
        <w:numPr>
          <w:ilvl w:val="0"/>
          <w:numId w:val="23"/>
        </w:numPr>
        <w:spacing w:line="280" w:lineRule="atLeast"/>
        <w:outlineLvl w:val="1"/>
        <w:rPr>
          <w:rFonts w:eastAsia="Calibri" w:cs="Segoe UI Historic"/>
        </w:rPr>
      </w:pPr>
      <w:r w:rsidRPr="00BD4F83">
        <w:rPr>
          <w:rFonts w:eastAsia="Calibri" w:cs="Segoe UI Historic"/>
        </w:rPr>
        <w:t xml:space="preserve">Using AUB, measure the dose rate outside the guide shielding at 20 places in the D03 hall, near shielding interfaces and dog-legs, and calculate the average and scale to beam power </w:t>
      </w:r>
    </w:p>
    <w:p w14:paraId="3CFEFA1F" w14:textId="70BBB5A0" w:rsidR="001B6E0D" w:rsidRPr="00BD4F83" w:rsidRDefault="00923830" w:rsidP="00D23FD6">
      <w:pPr>
        <w:pStyle w:val="ListParagraph"/>
        <w:keepNext/>
        <w:numPr>
          <w:ilvl w:val="0"/>
          <w:numId w:val="23"/>
        </w:numPr>
        <w:spacing w:line="280" w:lineRule="atLeast"/>
        <w:outlineLvl w:val="1"/>
        <w:rPr>
          <w:rFonts w:eastAsia="Calibri" w:cs="Segoe UI Historic"/>
        </w:rPr>
      </w:pPr>
      <w:r w:rsidRPr="00BD4F83">
        <w:rPr>
          <w:rFonts w:eastAsia="Calibri" w:cs="Segoe UI Historic"/>
        </w:rPr>
        <w:t>Using AUB, measure the dose rate outside the guide shielding at 20 places in the E02 hall, near shielding interfaces and dog-legs, and calculate the average and scale to beam power</w:t>
      </w:r>
    </w:p>
    <w:p w14:paraId="7051CD58" w14:textId="4E7B19D3" w:rsidR="001B6E0D" w:rsidRPr="00BD4F83" w:rsidRDefault="001B6E0D" w:rsidP="001B6E0D">
      <w:pPr>
        <w:keepNext/>
        <w:spacing w:line="280" w:lineRule="atLeast"/>
        <w:outlineLvl w:val="1"/>
        <w:rPr>
          <w:rFonts w:eastAsia="Calibri" w:cs="Segoe UI Historic"/>
          <w:i/>
          <w:iCs/>
        </w:rPr>
      </w:pPr>
      <w:r w:rsidRPr="00BD4F83">
        <w:rPr>
          <w:rFonts w:eastAsia="Calibri" w:cs="Segoe UI Historic"/>
          <w:i/>
          <w:iCs/>
        </w:rPr>
        <w:t>For the cave shielding:</w:t>
      </w:r>
    </w:p>
    <w:p w14:paraId="0B99B0EC" w14:textId="74D58AE4" w:rsidR="00923830" w:rsidRPr="00BD4F83" w:rsidRDefault="00923830" w:rsidP="00D23FD6">
      <w:pPr>
        <w:pStyle w:val="ListParagraph"/>
        <w:keepNext/>
        <w:numPr>
          <w:ilvl w:val="0"/>
          <w:numId w:val="23"/>
        </w:numPr>
        <w:spacing w:line="280" w:lineRule="atLeast"/>
        <w:outlineLvl w:val="1"/>
        <w:rPr>
          <w:rFonts w:eastAsia="Calibri" w:cs="Segoe UI Historic"/>
        </w:rPr>
      </w:pPr>
      <w:r w:rsidRPr="00BD4F83">
        <w:rPr>
          <w:rFonts w:eastAsia="Calibri" w:cs="Segoe UI Historic"/>
        </w:rPr>
        <w:t>Using AUB, measure the dose rate at 20 places on the outside of the cave in the E02 hall, near shielding interfaces and dog-legs, and calculate the average and scale to beam power</w:t>
      </w:r>
    </w:p>
    <w:p w14:paraId="6017D089" w14:textId="59FA591A" w:rsidR="00923830" w:rsidRDefault="00923830" w:rsidP="00D23FD6">
      <w:pPr>
        <w:pStyle w:val="ListParagraph"/>
        <w:keepNext/>
        <w:numPr>
          <w:ilvl w:val="0"/>
          <w:numId w:val="23"/>
        </w:numPr>
        <w:spacing w:line="280" w:lineRule="atLeast"/>
        <w:outlineLvl w:val="1"/>
        <w:rPr>
          <w:rFonts w:asciiTheme="minorHAnsi" w:eastAsia="Calibri" w:hAnsiTheme="minorHAnsi" w:cstheme="minorHAnsi"/>
        </w:rPr>
      </w:pPr>
      <w:r w:rsidRPr="00BD4F83">
        <w:rPr>
          <w:rFonts w:eastAsia="Calibri" w:cs="Segoe UI Historic"/>
        </w:rPr>
        <w:t>Using the electronic and remotely read out dosimeter in the BIFROST cave, place the B4C attenuator in the beam and place a cadmium sheet at the sample position. This gives the gamma dose rate of the H2 scenario</w:t>
      </w:r>
      <w:r w:rsidR="00273990" w:rsidRPr="00BD4F83">
        <w:rPr>
          <w:rFonts w:eastAsia="Calibri" w:cs="Segoe UI Historic"/>
        </w:rPr>
        <w:t xml:space="preserve"> </w:t>
      </w:r>
      <w:r w:rsidR="00273990" w:rsidRPr="00BD4F83">
        <w:rPr>
          <w:rFonts w:eastAsia="Calibri" w:cs="Segoe UI Historic"/>
          <w:i/>
          <w:iCs/>
        </w:rPr>
        <w:t>inside the cave</w:t>
      </w:r>
      <w:r w:rsidRPr="00BD4F83">
        <w:rPr>
          <w:rFonts w:eastAsia="Calibri" w:cs="Segoe UI Historic"/>
        </w:rPr>
        <w:t xml:space="preserve">, scaled down by the attenuator and the beam power. This should be used to benchmark the cave shielding calculations, spotting potential problems well before 5 MW is reached. </w:t>
      </w:r>
      <w:r w:rsidR="00273990" w:rsidRPr="00BD4F83">
        <w:rPr>
          <w:rFonts w:eastAsia="Calibri" w:cs="Segoe UI Historic"/>
        </w:rPr>
        <w:t xml:space="preserve">It could also be used by RP as an empirical estimate of </w:t>
      </w:r>
      <w:r w:rsidR="00CF7030" w:rsidRPr="00BD4F83">
        <w:rPr>
          <w:rFonts w:eastAsia="Calibri" w:cs="Segoe UI Historic"/>
        </w:rPr>
        <w:t>worst-case</w:t>
      </w:r>
      <w:r w:rsidR="00273990" w:rsidRPr="00BD4F83">
        <w:rPr>
          <w:rFonts w:eastAsia="Calibri" w:cs="Segoe UI Historic"/>
        </w:rPr>
        <w:t xml:space="preserve"> radiation levels inside the cave.</w:t>
      </w:r>
      <w:r w:rsidR="00273990">
        <w:rPr>
          <w:rFonts w:asciiTheme="minorHAnsi" w:eastAsia="Calibri" w:hAnsiTheme="minorHAnsi" w:cstheme="minorHAnsi"/>
        </w:rPr>
        <w:t xml:space="preserve"> </w:t>
      </w:r>
    </w:p>
    <w:p w14:paraId="753C8627" w14:textId="35ED81B1" w:rsidR="00923830" w:rsidRPr="00367B5A" w:rsidRDefault="00923830" w:rsidP="00923830">
      <w:pPr>
        <w:keepNext/>
        <w:spacing w:line="280" w:lineRule="atLeast"/>
        <w:outlineLvl w:val="1"/>
        <w:rPr>
          <w:rFonts w:eastAsia="Calibri" w:cs="Segoe UI Historic"/>
        </w:rPr>
      </w:pPr>
      <w:r w:rsidRPr="00367B5A">
        <w:rPr>
          <w:rFonts w:eastAsia="Calibri" w:cs="Segoe UI Historic"/>
          <w:b/>
          <w:bCs/>
        </w:rPr>
        <w:t xml:space="preserve">Note on scaling to beam power: </w:t>
      </w:r>
    </w:p>
    <w:p w14:paraId="632FA6E6" w14:textId="6C33BD33" w:rsidR="007D6F3E" w:rsidRPr="00367B5A" w:rsidRDefault="00273990" w:rsidP="007D6F3E">
      <w:pPr>
        <w:keepNext/>
        <w:spacing w:line="280" w:lineRule="atLeast"/>
        <w:outlineLvl w:val="1"/>
        <w:rPr>
          <w:rFonts w:cs="Segoe UI Historic"/>
        </w:rPr>
      </w:pPr>
      <w:r w:rsidRPr="00367B5A">
        <w:rPr>
          <w:rFonts w:cs="Segoe UI Historic"/>
        </w:rPr>
        <w:t>The largest problem with scaling radiation measurements to beam power is the proton energy. During ramp-up</w:t>
      </w:r>
      <w:r w:rsidR="001B6E0D" w:rsidRPr="00367B5A">
        <w:rPr>
          <w:rFonts w:cs="Segoe UI Historic"/>
        </w:rPr>
        <w:t>,</w:t>
      </w:r>
      <w:r w:rsidRPr="00367B5A">
        <w:rPr>
          <w:rFonts w:cs="Segoe UI Historic"/>
        </w:rPr>
        <w:t xml:space="preserve"> proton energies between 600 and 2000 MeV will be hitting the target, with the fast neutron spectrum depending on the proton energy, and likely with some difference in the slow neutron spectrum as well. These measurements should be repeated every time the proton energy is increased.  </w:t>
      </w:r>
      <w:r w:rsidR="007D6F3E" w:rsidRPr="00367B5A">
        <w:rPr>
          <w:rFonts w:cs="Segoe UI Historic"/>
        </w:rPr>
        <w:t xml:space="preserve"> </w:t>
      </w:r>
    </w:p>
    <w:p w14:paraId="7D736CA9" w14:textId="07F70EBB" w:rsidR="007D734A" w:rsidRDefault="007D734A" w:rsidP="00D17FBC">
      <w:pPr>
        <w:pStyle w:val="Heading2"/>
        <w:rPr>
          <w:noProof/>
        </w:rPr>
      </w:pPr>
      <w:bookmarkStart w:id="29" w:name="_Toc199928634"/>
      <w:bookmarkStart w:id="30" w:name="_Ref199929009"/>
      <w:r>
        <w:t xml:space="preserve">TBL </w:t>
      </w:r>
      <w:r w:rsidRPr="00367B5A">
        <w:t>measurements</w:t>
      </w:r>
      <w:bookmarkEnd w:id="29"/>
      <w:bookmarkEnd w:id="30"/>
    </w:p>
    <w:p w14:paraId="1A469C7F" w14:textId="21EE66B7" w:rsidR="00C21368" w:rsidRDefault="00C21368" w:rsidP="00AB5FB3">
      <w:pPr>
        <w:jc w:val="center"/>
      </w:pPr>
      <w:r w:rsidRPr="004D54B0">
        <w:rPr>
          <w:noProof/>
        </w:rPr>
        <w:drawing>
          <wp:inline distT="0" distB="0" distL="0" distR="0" wp14:anchorId="51E74542" wp14:editId="3058D975">
            <wp:extent cx="3103033" cy="2240596"/>
            <wp:effectExtent l="0" t="0" r="2540" b="7620"/>
            <wp:docPr id="117928668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286685" name="Graphic 1179286685"/>
                    <pic:cNvPicPr/>
                  </pic:nvPicPr>
                  <pic:blipFill>
                    <a:blip r:embed="rId21">
                      <a:extLst>
                        <a:ext uri="{96DAC541-7B7A-43D3-8B79-37D633B846F1}">
                          <asvg:svgBlip xmlns:asvg="http://schemas.microsoft.com/office/drawing/2016/SVG/main" r:embed="rId22"/>
                        </a:ext>
                      </a:extLst>
                    </a:blip>
                    <a:stretch>
                      <a:fillRect/>
                    </a:stretch>
                  </pic:blipFill>
                  <pic:spPr>
                    <a:xfrm>
                      <a:off x="0" y="0"/>
                      <a:ext cx="3103033" cy="2240596"/>
                    </a:xfrm>
                    <a:prstGeom prst="rect">
                      <a:avLst/>
                    </a:prstGeom>
                  </pic:spPr>
                </pic:pic>
              </a:graphicData>
            </a:graphic>
          </wp:inline>
        </w:drawing>
      </w:r>
    </w:p>
    <w:p w14:paraId="6A3CF872" w14:textId="3800EF45" w:rsidR="00C21368" w:rsidRDefault="00C21368" w:rsidP="00C21368">
      <w:pPr>
        <w:pStyle w:val="TableFigureTitle"/>
      </w:pPr>
      <w:bookmarkStart w:id="31" w:name="_Toc199928245"/>
      <w:r w:rsidRPr="004D54B0">
        <w:t xml:space="preserve">Figure </w:t>
      </w:r>
      <w:r w:rsidRPr="004D54B0">
        <w:fldChar w:fldCharType="begin"/>
      </w:r>
      <w:r w:rsidRPr="004D54B0">
        <w:instrText xml:space="preserve"> SEQ Figure \* ARABIC </w:instrText>
      </w:r>
      <w:r w:rsidRPr="004D54B0">
        <w:fldChar w:fldCharType="separate"/>
      </w:r>
      <w:r w:rsidRPr="004D54B0">
        <w:rPr>
          <w:noProof/>
        </w:rPr>
        <w:t>1</w:t>
      </w:r>
      <w:r w:rsidRPr="004D54B0">
        <w:fldChar w:fldCharType="end"/>
      </w:r>
      <w:r>
        <w:t xml:space="preserve"> -</w:t>
      </w:r>
      <w:r w:rsidRPr="004D54B0">
        <w:t xml:space="preserve"> TBL measures the neutron spectrum directly, without using a neutron guide, at specific points in the field of view of BIFROST</w:t>
      </w:r>
      <w:bookmarkEnd w:id="31"/>
    </w:p>
    <w:p w14:paraId="3CB76C18" w14:textId="77777777" w:rsidR="00672893" w:rsidRPr="00672893" w:rsidRDefault="00672893" w:rsidP="00672893"/>
    <w:p w14:paraId="034DA8CD" w14:textId="1BADAFCE" w:rsidR="00D17FBC" w:rsidRDefault="008E223E" w:rsidP="008E223E">
      <w:pPr>
        <w:keepNext/>
        <w:spacing w:line="280" w:lineRule="atLeast"/>
        <w:outlineLvl w:val="1"/>
      </w:pPr>
      <w:r w:rsidRPr="004D54B0">
        <w:lastRenderedPageBreak/>
        <w:t xml:space="preserve">The a priori knowledge about the moderator spectrum comes from the TBL measurements, where they scan the surface of the moderator using two pinholes. They then use Bragg edge transmission measurements to measure the brilliance of the moderator, benchmarking the simulated spectra. This could serve as an empirical basis for validating the guide performance, if enough information is obtained in the calibration measurements. </w:t>
      </w:r>
      <w:r w:rsidR="00FD7A76" w:rsidRPr="004D54B0">
        <w:t xml:space="preserve">There is an angular dependence that could be a systematic error in such an approach, but that either has to be accepted, or accounted for via simulated data. </w:t>
      </w:r>
    </w:p>
    <w:p w14:paraId="6A636AB0" w14:textId="71F87B66" w:rsidR="007D6F3E" w:rsidRPr="001B6E0D" w:rsidRDefault="007D734A" w:rsidP="000C1593">
      <w:pPr>
        <w:pStyle w:val="Heading2"/>
      </w:pPr>
      <w:bookmarkStart w:id="32" w:name="_Toc199928635"/>
      <w:r>
        <w:t xml:space="preserve">Primary </w:t>
      </w:r>
      <w:r w:rsidRPr="000C1593">
        <w:t>spectrometer</w:t>
      </w:r>
      <w:bookmarkEnd w:id="32"/>
    </w:p>
    <w:p w14:paraId="0E232DEA" w14:textId="3EF0B31E" w:rsidR="00B54E4A" w:rsidRPr="000C1593" w:rsidRDefault="001B6E0D">
      <w:pPr>
        <w:spacing w:after="0"/>
        <w:rPr>
          <w:rFonts w:cs="Segoe UI Historic"/>
        </w:rPr>
      </w:pPr>
      <w:r w:rsidRPr="000C1593">
        <w:rPr>
          <w:rFonts w:cs="Segoe UI Historic"/>
        </w:rPr>
        <w:t>Understanding the choppers and the beam monitors is a prerequisite for understanding the incident beam on the sample and would</w:t>
      </w:r>
      <w:r w:rsidR="0039472D" w:rsidRPr="000C1593">
        <w:rPr>
          <w:rFonts w:cs="Segoe UI Historic"/>
        </w:rPr>
        <w:t xml:space="preserve"> therefore</w:t>
      </w:r>
      <w:r w:rsidRPr="000C1593">
        <w:rPr>
          <w:rFonts w:cs="Segoe UI Historic"/>
        </w:rPr>
        <w:t xml:space="preserve"> be a first step in hot commissioning</w:t>
      </w:r>
    </w:p>
    <w:p w14:paraId="632623B6" w14:textId="77777777" w:rsidR="001B6E0D" w:rsidRPr="000C1593" w:rsidRDefault="001B6E0D">
      <w:pPr>
        <w:spacing w:after="0"/>
        <w:rPr>
          <w:rFonts w:cs="Segoe UI Historic"/>
        </w:rPr>
      </w:pPr>
    </w:p>
    <w:p w14:paraId="1CEDA00D" w14:textId="77777777" w:rsidR="00C16029" w:rsidRPr="000C1593" w:rsidRDefault="001B6E0D">
      <w:pPr>
        <w:spacing w:after="0"/>
        <w:rPr>
          <w:rFonts w:cs="Segoe UI Historic"/>
          <w:i/>
          <w:iCs/>
        </w:rPr>
      </w:pPr>
      <w:r w:rsidRPr="000C1593">
        <w:rPr>
          <w:rFonts w:cs="Segoe UI Historic"/>
          <w:b/>
          <w:bCs/>
          <w:i/>
          <w:iCs/>
          <w:u w:val="single"/>
        </w:rPr>
        <w:t>People involved</w:t>
      </w:r>
      <w:r w:rsidR="00C16029" w:rsidRPr="000C1593">
        <w:rPr>
          <w:rFonts w:cs="Segoe UI Historic"/>
          <w:b/>
          <w:bCs/>
          <w:i/>
          <w:iCs/>
          <w:u w:val="single"/>
        </w:rPr>
        <w:t>:</w:t>
      </w:r>
      <w:r w:rsidRPr="000C1593">
        <w:rPr>
          <w:rFonts w:cs="Segoe UI Historic"/>
          <w:i/>
          <w:iCs/>
        </w:rPr>
        <w:t xml:space="preserve"> </w:t>
      </w:r>
    </w:p>
    <w:p w14:paraId="0F8E13FC" w14:textId="0C7F69C0" w:rsidR="001B6E0D" w:rsidRPr="000C1593" w:rsidRDefault="00C16029" w:rsidP="00D23FD6">
      <w:pPr>
        <w:pStyle w:val="ListParagraph"/>
        <w:numPr>
          <w:ilvl w:val="0"/>
          <w:numId w:val="27"/>
        </w:numPr>
        <w:spacing w:after="0"/>
        <w:rPr>
          <w:rFonts w:cs="Segoe UI Historic"/>
        </w:rPr>
      </w:pPr>
      <w:r w:rsidRPr="000C1593">
        <w:rPr>
          <w:rFonts w:cs="Segoe UI Historic"/>
          <w:i/>
          <w:iCs/>
        </w:rPr>
        <w:t xml:space="preserve">Available at all times: </w:t>
      </w:r>
      <w:r w:rsidR="001B6E0D" w:rsidRPr="000C1593">
        <w:rPr>
          <w:rFonts w:cs="Segoe UI Historic"/>
        </w:rPr>
        <w:t xml:space="preserve">Instrument </w:t>
      </w:r>
      <w:r w:rsidRPr="000C1593">
        <w:rPr>
          <w:rFonts w:cs="Segoe UI Historic"/>
        </w:rPr>
        <w:t>scientists</w:t>
      </w:r>
      <w:r w:rsidR="00E326D2" w:rsidRPr="000C1593">
        <w:rPr>
          <w:rFonts w:cs="Segoe UI Historic"/>
        </w:rPr>
        <w:t xml:space="preserve"> (x2)</w:t>
      </w:r>
      <w:r w:rsidR="00FB0D66" w:rsidRPr="000C1593">
        <w:rPr>
          <w:rFonts w:cs="Segoe UI Historic"/>
        </w:rPr>
        <w:t xml:space="preserve">, </w:t>
      </w:r>
      <w:r w:rsidR="0039472D" w:rsidRPr="000C1593">
        <w:rPr>
          <w:rFonts w:cs="Segoe UI Historic"/>
        </w:rPr>
        <w:t xml:space="preserve">instrument </w:t>
      </w:r>
      <w:r w:rsidR="00FB0D66" w:rsidRPr="000C1593">
        <w:rPr>
          <w:rFonts w:cs="Segoe UI Historic"/>
        </w:rPr>
        <w:t>data scientist</w:t>
      </w:r>
      <w:r w:rsidRPr="000C1593">
        <w:rPr>
          <w:rFonts w:cs="Segoe UI Historic"/>
        </w:rPr>
        <w:t>, IOE</w:t>
      </w:r>
    </w:p>
    <w:p w14:paraId="6690AB41" w14:textId="4C355387" w:rsidR="00C16029" w:rsidRPr="000C1593" w:rsidRDefault="00C16029" w:rsidP="00D23FD6">
      <w:pPr>
        <w:pStyle w:val="ListParagraph"/>
        <w:numPr>
          <w:ilvl w:val="0"/>
          <w:numId w:val="27"/>
        </w:numPr>
        <w:spacing w:after="0"/>
        <w:rPr>
          <w:rFonts w:cs="Segoe UI Historic"/>
        </w:rPr>
      </w:pPr>
      <w:r w:rsidRPr="000C1593">
        <w:rPr>
          <w:rFonts w:cs="Segoe UI Historic"/>
          <w:i/>
          <w:iCs/>
        </w:rPr>
        <w:t>On call for ad hoc problems:</w:t>
      </w:r>
      <w:r w:rsidRPr="000C1593">
        <w:rPr>
          <w:rFonts w:cs="Segoe UI Historic"/>
        </w:rPr>
        <w:t xml:space="preserve"> Chopper engineer, </w:t>
      </w:r>
      <w:r w:rsidR="00445137" w:rsidRPr="000C1593">
        <w:rPr>
          <w:rFonts w:cs="Segoe UI Historic"/>
        </w:rPr>
        <w:t>detector scientist for monitors</w:t>
      </w:r>
    </w:p>
    <w:p w14:paraId="02BFE2B7" w14:textId="77777777" w:rsidR="00445137" w:rsidRPr="000C1593" w:rsidRDefault="00445137">
      <w:pPr>
        <w:spacing w:after="0"/>
        <w:rPr>
          <w:rFonts w:cs="Segoe UI Historic"/>
        </w:rPr>
      </w:pPr>
    </w:p>
    <w:p w14:paraId="263DCD86" w14:textId="76A09576" w:rsidR="001B6E0D" w:rsidRPr="000C1593" w:rsidRDefault="001B6E0D">
      <w:pPr>
        <w:spacing w:after="0"/>
        <w:rPr>
          <w:rFonts w:cs="Segoe UI Historic"/>
        </w:rPr>
      </w:pPr>
      <w:r w:rsidRPr="000C1593">
        <w:rPr>
          <w:rFonts w:cs="Segoe UI Historic"/>
          <w:b/>
          <w:bCs/>
          <w:u w:val="single"/>
        </w:rPr>
        <w:t>Components involved:</w:t>
      </w:r>
      <w:r w:rsidRPr="000C1593">
        <w:rPr>
          <w:rFonts w:cs="Segoe UI Historic"/>
        </w:rPr>
        <w:t xml:space="preserve"> PSC chopper, FOC choppers, BW chopper, Beam monitors 1-4</w:t>
      </w:r>
    </w:p>
    <w:p w14:paraId="01C9E9C7" w14:textId="77777777" w:rsidR="00445137" w:rsidRPr="000C1593" w:rsidRDefault="00445137">
      <w:pPr>
        <w:spacing w:after="0"/>
        <w:rPr>
          <w:rFonts w:cs="Segoe UI Historic"/>
        </w:rPr>
      </w:pPr>
    </w:p>
    <w:p w14:paraId="647842FD" w14:textId="7CA27E63" w:rsidR="00F873F4" w:rsidRPr="000C1593" w:rsidRDefault="00F873F4">
      <w:pPr>
        <w:spacing w:after="0"/>
        <w:rPr>
          <w:rFonts w:cs="Segoe UI Historic"/>
        </w:rPr>
      </w:pPr>
      <w:r w:rsidRPr="000C1593">
        <w:rPr>
          <w:rFonts w:cs="Segoe UI Historic"/>
        </w:rPr>
        <w:t xml:space="preserve">A simple drawing of the ToF-diagram is shown </w:t>
      </w:r>
      <w:r w:rsidR="00F23D1E">
        <w:rPr>
          <w:rFonts w:cs="Segoe UI Historic"/>
        </w:rPr>
        <w:t>i</w:t>
      </w:r>
      <w:r w:rsidRPr="000C1593">
        <w:rPr>
          <w:rFonts w:cs="Segoe UI Historic"/>
        </w:rPr>
        <w:t xml:space="preserve">n </w:t>
      </w:r>
      <w:r w:rsidRPr="000C1593">
        <w:rPr>
          <w:rFonts w:cs="Segoe UI Historic"/>
        </w:rPr>
        <w:fldChar w:fldCharType="begin"/>
      </w:r>
      <w:r w:rsidRPr="000C1593">
        <w:rPr>
          <w:rFonts w:cs="Segoe UI Historic"/>
        </w:rPr>
        <w:instrText xml:space="preserve"> REF _Ref196460944 \h </w:instrText>
      </w:r>
      <w:r w:rsidR="000C1593">
        <w:rPr>
          <w:rFonts w:cs="Segoe UI Historic"/>
        </w:rPr>
        <w:instrText xml:space="preserve"> \* MERGEFORMAT </w:instrText>
      </w:r>
      <w:r w:rsidRPr="000C1593">
        <w:rPr>
          <w:rFonts w:cs="Segoe UI Historic"/>
        </w:rPr>
      </w:r>
      <w:r w:rsidRPr="000C1593">
        <w:rPr>
          <w:rFonts w:cs="Segoe UI Historic"/>
        </w:rPr>
        <w:fldChar w:fldCharType="separate"/>
      </w:r>
      <w:r w:rsidR="00F23D1E" w:rsidRPr="00F23D1E">
        <w:rPr>
          <w:rFonts w:cs="Segoe UI Historic"/>
        </w:rPr>
        <w:t>Figure</w:t>
      </w:r>
      <w:r w:rsidR="00F23D1E" w:rsidRPr="00F23D1E">
        <w:rPr>
          <w:rFonts w:cs="Segoe UI Historic"/>
          <w:noProof/>
        </w:rPr>
        <w:t xml:space="preserve"> </w:t>
      </w:r>
      <w:r w:rsidR="00F23D1E">
        <w:rPr>
          <w:noProof/>
        </w:rPr>
        <w:t>2</w:t>
      </w:r>
      <w:r w:rsidRPr="000C1593">
        <w:rPr>
          <w:rFonts w:cs="Segoe UI Historic"/>
        </w:rPr>
        <w:fldChar w:fldCharType="end"/>
      </w:r>
      <w:r w:rsidRPr="000C1593">
        <w:rPr>
          <w:rFonts w:cs="Segoe UI Historic"/>
        </w:rPr>
        <w:t>.</w:t>
      </w:r>
    </w:p>
    <w:p w14:paraId="39AA24B5" w14:textId="77777777" w:rsidR="005C7438" w:rsidRDefault="005C7438">
      <w:pPr>
        <w:spacing w:after="0"/>
        <w:rPr>
          <w:rFonts w:asciiTheme="minorHAnsi" w:hAnsiTheme="minorHAnsi" w:cstheme="minorHAnsi"/>
        </w:rPr>
      </w:pPr>
    </w:p>
    <w:p w14:paraId="18069211" w14:textId="77777777" w:rsidR="00F873F4" w:rsidRDefault="00F873F4" w:rsidP="00AB5FB3">
      <w:pPr>
        <w:keepNext/>
        <w:spacing w:after="0"/>
        <w:jc w:val="center"/>
      </w:pPr>
      <w:r>
        <w:rPr>
          <w:noProof/>
        </w:rPr>
        <w:drawing>
          <wp:inline distT="0" distB="0" distL="0" distR="0" wp14:anchorId="32C6B854" wp14:editId="22427F7E">
            <wp:extent cx="4868282" cy="3307644"/>
            <wp:effectExtent l="0" t="0" r="8890" b="7620"/>
            <wp:docPr id="1716698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84258" cy="3318499"/>
                    </a:xfrm>
                    <a:prstGeom prst="rect">
                      <a:avLst/>
                    </a:prstGeom>
                    <a:noFill/>
                    <a:ln>
                      <a:noFill/>
                    </a:ln>
                  </pic:spPr>
                </pic:pic>
              </a:graphicData>
            </a:graphic>
          </wp:inline>
        </w:drawing>
      </w:r>
    </w:p>
    <w:p w14:paraId="0294DBB1" w14:textId="3F6B8463" w:rsidR="00F873F4" w:rsidRPr="00F873F4" w:rsidRDefault="00F873F4" w:rsidP="00D17FBC">
      <w:pPr>
        <w:pStyle w:val="TableFigureTitle"/>
      </w:pPr>
      <w:bookmarkStart w:id="33" w:name="_Ref196460944"/>
      <w:r>
        <w:br/>
      </w:r>
      <w:bookmarkStart w:id="34" w:name="_Toc199928246"/>
      <w:r>
        <w:t xml:space="preserve">Figure </w:t>
      </w:r>
      <w:r>
        <w:fldChar w:fldCharType="begin"/>
      </w:r>
      <w:r>
        <w:instrText xml:space="preserve"> SEQ Figure \* ARABIC </w:instrText>
      </w:r>
      <w:r>
        <w:fldChar w:fldCharType="separate"/>
      </w:r>
      <w:r w:rsidR="001621CA">
        <w:rPr>
          <w:noProof/>
        </w:rPr>
        <w:t>2</w:t>
      </w:r>
      <w:r>
        <w:fldChar w:fldCharType="end"/>
      </w:r>
      <w:bookmarkEnd w:id="33"/>
      <w:r w:rsidR="00D17FBC">
        <w:t xml:space="preserve"> - </w:t>
      </w:r>
      <w:r>
        <w:t>Simple ToF diagram with the positions of the 4 monitors</w:t>
      </w:r>
      <w:bookmarkEnd w:id="34"/>
    </w:p>
    <w:p w14:paraId="258BF835" w14:textId="1957FED0" w:rsidR="00834619" w:rsidRDefault="000C1593" w:rsidP="000C1593">
      <w:pPr>
        <w:pStyle w:val="Heading3"/>
      </w:pPr>
      <w:r>
        <w:t xml:space="preserve"> </w:t>
      </w:r>
      <w:bookmarkStart w:id="35" w:name="_Toc199928636"/>
      <w:r w:rsidR="00834619">
        <w:t>PSC fission monitor</w:t>
      </w:r>
      <w:r w:rsidR="0039472D">
        <w:t xml:space="preserve"> (M1)</w:t>
      </w:r>
      <w:r w:rsidR="00834619">
        <w:t xml:space="preserve"> commissioning</w:t>
      </w:r>
      <w:r w:rsidR="0039472D">
        <w:t xml:space="preserve"> (</w:t>
      </w:r>
      <w:r w:rsidR="008906B6">
        <w:t>1</w:t>
      </w:r>
      <w:r w:rsidR="0039472D">
        <w:t xml:space="preserve"> </w:t>
      </w:r>
      <w:r w:rsidR="008E5B66">
        <w:t xml:space="preserve">beam </w:t>
      </w:r>
      <w:r w:rsidR="0039472D">
        <w:t>days)</w:t>
      </w:r>
      <w:bookmarkEnd w:id="35"/>
    </w:p>
    <w:p w14:paraId="3729DC56" w14:textId="6CC8F8A7" w:rsidR="00830CCF" w:rsidRPr="00830CCF" w:rsidRDefault="00830CCF" w:rsidP="00D35578">
      <w:pPr>
        <w:pBdr>
          <w:top w:val="single" w:sz="4" w:space="1" w:color="auto"/>
          <w:left w:val="single" w:sz="4" w:space="4" w:color="auto"/>
          <w:bottom w:val="single" w:sz="4" w:space="1" w:color="auto"/>
          <w:right w:val="single" w:sz="4" w:space="4" w:color="auto"/>
        </w:pBdr>
        <w:rPr>
          <w:b/>
          <w:bCs/>
        </w:rPr>
      </w:pPr>
      <w:r w:rsidRPr="00830CCF">
        <w:rPr>
          <w:b/>
          <w:bCs/>
        </w:rPr>
        <w:t>FBS:</w:t>
      </w:r>
      <w:r w:rsidRPr="00830CCF">
        <w:rPr>
          <w:b/>
          <w:bCs/>
        </w:rPr>
        <w:tab/>
        <w:t>ESS.NSS.H01.BIFRO.A01.B01.B01 – Beam monitor M1</w:t>
      </w:r>
    </w:p>
    <w:p w14:paraId="6F9DF790" w14:textId="1A2F53F0" w:rsidR="00830CCF" w:rsidRPr="00830CCF" w:rsidRDefault="00830CCF" w:rsidP="00D35578">
      <w:pPr>
        <w:pBdr>
          <w:top w:val="single" w:sz="4" w:space="1" w:color="auto"/>
          <w:left w:val="single" w:sz="4" w:space="4" w:color="auto"/>
          <w:bottom w:val="single" w:sz="4" w:space="1" w:color="auto"/>
          <w:right w:val="single" w:sz="4" w:space="4" w:color="auto"/>
        </w:pBdr>
        <w:rPr>
          <w:b/>
          <w:bCs/>
        </w:rPr>
      </w:pPr>
      <w:r w:rsidRPr="00830CCF">
        <w:rPr>
          <w:b/>
          <w:bCs/>
        </w:rPr>
        <w:tab/>
        <w:t>ESS.NSS.H01.BIFRO.A01.B01.C01 – Beam monitor M1 DAQ system</w:t>
      </w:r>
    </w:p>
    <w:p w14:paraId="1554161C" w14:textId="6A60F16F" w:rsidR="00834619" w:rsidRDefault="00834619" w:rsidP="00D23FD6">
      <w:pPr>
        <w:pStyle w:val="ListParagraph"/>
        <w:numPr>
          <w:ilvl w:val="0"/>
          <w:numId w:val="24"/>
        </w:numPr>
      </w:pPr>
      <w:r>
        <w:t xml:space="preserve">Park the PSC in closed mode. Measure the fast neutron signal on the fission </w:t>
      </w:r>
      <w:r w:rsidR="00F23D1E">
        <w:t>monitor and</w:t>
      </w:r>
      <w:r>
        <w:t xml:space="preserve"> confirm the prompt pulse timing is consistent with the accelerator T</w:t>
      </w:r>
      <w:r w:rsidRPr="00834619">
        <w:rPr>
          <w:vertAlign w:val="subscript"/>
        </w:rPr>
        <w:t>0</w:t>
      </w:r>
      <w:r>
        <w:t xml:space="preserve">. The data should be </w:t>
      </w:r>
      <w:r>
        <w:lastRenderedPageBreak/>
        <w:t>recorded in histogram mode, and enough statistics gathered for 2 % intensity error bars.</w:t>
      </w:r>
      <w:r w:rsidR="005C7438">
        <w:br/>
      </w:r>
      <w:r w:rsidR="005C7438" w:rsidRPr="005C7438">
        <w:rPr>
          <w:i/>
          <w:iCs/>
        </w:rPr>
        <w:t>Criterion for success: Consistency of measured T</w:t>
      </w:r>
      <w:r w:rsidR="005C7438" w:rsidRPr="005C7438">
        <w:rPr>
          <w:i/>
          <w:iCs/>
          <w:vertAlign w:val="subscript"/>
        </w:rPr>
        <w:t>0</w:t>
      </w:r>
      <w:r w:rsidR="005C7438" w:rsidRPr="005C7438">
        <w:rPr>
          <w:i/>
          <w:iCs/>
        </w:rPr>
        <w:t xml:space="preserve"> with expected</w:t>
      </w:r>
      <w:r w:rsidR="005C7438">
        <w:rPr>
          <w:i/>
          <w:iCs/>
        </w:rPr>
        <w:t xml:space="preserve"> T</w:t>
      </w:r>
      <w:r w:rsidR="005C7438" w:rsidRPr="005C7438">
        <w:rPr>
          <w:i/>
          <w:iCs/>
          <w:vertAlign w:val="subscript"/>
        </w:rPr>
        <w:t>0</w:t>
      </w:r>
      <w:r w:rsidR="005C7438" w:rsidRPr="005C7438">
        <w:rPr>
          <w:i/>
          <w:iCs/>
        </w:rPr>
        <w:t xml:space="preserve"> from ESS reference pulse</w:t>
      </w:r>
      <w:r w:rsidR="00F8256C">
        <w:br/>
      </w:r>
    </w:p>
    <w:p w14:paraId="235D2B60" w14:textId="1C719EBF" w:rsidR="005C7438" w:rsidRDefault="00834619" w:rsidP="00D23FD6">
      <w:pPr>
        <w:pStyle w:val="ListParagraph"/>
        <w:numPr>
          <w:ilvl w:val="0"/>
          <w:numId w:val="24"/>
        </w:numPr>
      </w:pPr>
      <w:r>
        <w:t xml:space="preserve">Park the PSC in open mode. Measure the full spectrum from the source, subtract the fast neutron background. Normalize </w:t>
      </w:r>
      <w:r w:rsidR="0039472D">
        <w:t xml:space="preserve">intensities </w:t>
      </w:r>
      <w:r>
        <w:t>for 1/</w:t>
      </w:r>
      <w:r w:rsidRPr="00834619">
        <w:rPr>
          <w:rFonts w:ascii="Calibri" w:hAnsi="Calibri" w:cs="Calibri"/>
        </w:rPr>
        <w:t>λ</w:t>
      </w:r>
      <w:r>
        <w:t>. Compare the timing of the measured intensity peak with what is expected from the simulated and measured moderator spectrum</w:t>
      </w:r>
      <w:r w:rsidR="0071718B">
        <w:t xml:space="preserve"> from TBL</w:t>
      </w:r>
      <w:r>
        <w:t>. This is as a consistency check, as NBOA brilliance transfer comes into play</w:t>
      </w:r>
      <w:r w:rsidR="0071718B">
        <w:t>, obscuring the distribution</w:t>
      </w:r>
      <w:r w:rsidR="00BD2B5C">
        <w:t>. But the time of peak intensity should be consistent with the peak wavelength of the moderator spectrum</w:t>
      </w:r>
      <w:r w:rsidR="0039472D">
        <w:t xml:space="preserve">, and the ToF spectrum recorded by the fission monitor should be consisted with the spectrum from our field of view of the moderator as measured by the TBL. </w:t>
      </w:r>
      <w:r w:rsidR="005C7438">
        <w:br/>
      </w:r>
      <w:r w:rsidR="005C7438" w:rsidRPr="005C7438">
        <w:rPr>
          <w:i/>
          <w:iCs/>
        </w:rPr>
        <w:t>Criterion for success: Spectrum characteristics and peak as expected from simulations</w:t>
      </w:r>
    </w:p>
    <w:p w14:paraId="5CA79077" w14:textId="08108DEB" w:rsidR="00834619" w:rsidRDefault="000C1593" w:rsidP="000C1593">
      <w:pPr>
        <w:pStyle w:val="Heading3"/>
      </w:pPr>
      <w:r>
        <w:t xml:space="preserve"> </w:t>
      </w:r>
      <w:bookmarkStart w:id="36" w:name="_Toc199928637"/>
      <w:r w:rsidR="00BD2B5C">
        <w:t>Pulse-</w:t>
      </w:r>
      <w:r w:rsidR="00BD2B5C" w:rsidRPr="000C1593">
        <w:t>shaping</w:t>
      </w:r>
      <w:r w:rsidR="00BD2B5C">
        <w:t xml:space="preserve"> chopper commissioning</w:t>
      </w:r>
      <w:r w:rsidR="0039472D">
        <w:t xml:space="preserve"> (</w:t>
      </w:r>
      <w:r w:rsidR="008E5B66">
        <w:t>2</w:t>
      </w:r>
      <w:r w:rsidR="0039472D">
        <w:t xml:space="preserve"> </w:t>
      </w:r>
      <w:r w:rsidR="008E5B66">
        <w:t xml:space="preserve">beam </w:t>
      </w:r>
      <w:r w:rsidR="0039472D">
        <w:t>days)</w:t>
      </w:r>
      <w:bookmarkEnd w:id="36"/>
    </w:p>
    <w:p w14:paraId="246A96CF" w14:textId="06CB06EC" w:rsidR="00830CCF" w:rsidRPr="00985CA6" w:rsidRDefault="00830CCF" w:rsidP="00D35578">
      <w:pPr>
        <w:pBdr>
          <w:top w:val="single" w:sz="4" w:space="1" w:color="auto"/>
          <w:left w:val="single" w:sz="4" w:space="4" w:color="auto"/>
          <w:bottom w:val="single" w:sz="4" w:space="1" w:color="auto"/>
          <w:right w:val="single" w:sz="4" w:space="4" w:color="auto"/>
        </w:pBdr>
        <w:rPr>
          <w:b/>
          <w:bCs/>
        </w:rPr>
      </w:pPr>
      <w:r w:rsidRPr="00985CA6">
        <w:rPr>
          <w:b/>
          <w:bCs/>
        </w:rPr>
        <w:t>FBS:</w:t>
      </w:r>
      <w:r w:rsidRPr="00985CA6">
        <w:rPr>
          <w:b/>
          <w:bCs/>
        </w:rPr>
        <w:tab/>
        <w:t>ESS.NSS.H01.BIFRO.A01.R01.R01.R01 – PSC mechanical assembly</w:t>
      </w:r>
    </w:p>
    <w:p w14:paraId="3AAED0D5" w14:textId="0D78BE2E" w:rsidR="00830CCF" w:rsidRPr="00985CA6" w:rsidRDefault="00830CCF" w:rsidP="00D35578">
      <w:pPr>
        <w:pBdr>
          <w:top w:val="single" w:sz="4" w:space="1" w:color="auto"/>
          <w:left w:val="single" w:sz="4" w:space="4" w:color="auto"/>
          <w:bottom w:val="single" w:sz="4" w:space="1" w:color="auto"/>
          <w:right w:val="single" w:sz="4" w:space="4" w:color="auto"/>
        </w:pBdr>
        <w:rPr>
          <w:b/>
          <w:bCs/>
        </w:rPr>
      </w:pPr>
      <w:r w:rsidRPr="00985CA6">
        <w:rPr>
          <w:b/>
          <w:bCs/>
        </w:rPr>
        <w:tab/>
        <w:t>ESS.NSS.H01.BIFRO.A01.R01.R01.K01 – Bunker control system</w:t>
      </w:r>
    </w:p>
    <w:p w14:paraId="2FA8A7B6" w14:textId="1248E57F" w:rsidR="0039472D" w:rsidRDefault="0039472D" w:rsidP="0039472D">
      <w:r>
        <w:t xml:space="preserve">For the pulse shaping chopper, verifying operational stability is important, to ensure consistency between anomalies measured by </w:t>
      </w:r>
      <w:r w:rsidR="00A55C70">
        <w:t xml:space="preserve">M1 and anomalies measured by the SKF spindle. The latter measurement is deemed far more accurate, though. More importantly, characterization of the PSC pulse is crucial, since the pulse shape essentially determines the energy resolution function. </w:t>
      </w:r>
    </w:p>
    <w:p w14:paraId="359713BB" w14:textId="6915DF7E" w:rsidR="00A55C70" w:rsidRPr="0039472D" w:rsidRDefault="00A55C70" w:rsidP="0039472D">
      <w:r>
        <w:t xml:space="preserve">Below, a simulation of various PSC opening times, at various frequencies are shown. </w:t>
      </w:r>
    </w:p>
    <w:p w14:paraId="7929790E" w14:textId="77777777" w:rsidR="00A55C70" w:rsidRDefault="0039472D" w:rsidP="00AB5FB3">
      <w:pPr>
        <w:keepNext/>
        <w:jc w:val="center"/>
      </w:pPr>
      <w:r>
        <w:rPr>
          <w:noProof/>
        </w:rPr>
        <w:drawing>
          <wp:inline distT="0" distB="0" distL="0" distR="0" wp14:anchorId="45B2A519" wp14:editId="0EAC34DB">
            <wp:extent cx="5994564" cy="3981450"/>
            <wp:effectExtent l="0" t="0" r="6350" b="0"/>
            <wp:docPr id="1759637870" name="Picture 1" descr="A group of images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37870" name="Picture 1" descr="A group of images of a graph&#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21647" cy="3999438"/>
                    </a:xfrm>
                    <a:prstGeom prst="rect">
                      <a:avLst/>
                    </a:prstGeom>
                    <a:noFill/>
                    <a:ln>
                      <a:noFill/>
                    </a:ln>
                  </pic:spPr>
                </pic:pic>
              </a:graphicData>
            </a:graphic>
          </wp:inline>
        </w:drawing>
      </w:r>
    </w:p>
    <w:p w14:paraId="0999CEB7" w14:textId="23752503" w:rsidR="00672893" w:rsidRDefault="00A55C70" w:rsidP="00672893">
      <w:pPr>
        <w:pStyle w:val="TableFigureTitle"/>
      </w:pPr>
      <w:bookmarkStart w:id="37" w:name="_Ref196420513"/>
      <w:bookmarkStart w:id="38" w:name="_Toc199928247"/>
      <w:r>
        <w:t xml:space="preserve">Figure </w:t>
      </w:r>
      <w:r>
        <w:fldChar w:fldCharType="begin"/>
      </w:r>
      <w:r>
        <w:instrText xml:space="preserve"> SEQ Figure \* ARABIC </w:instrText>
      </w:r>
      <w:r>
        <w:fldChar w:fldCharType="separate"/>
      </w:r>
      <w:r w:rsidR="001621CA">
        <w:rPr>
          <w:noProof/>
        </w:rPr>
        <w:t>3</w:t>
      </w:r>
      <w:r>
        <w:fldChar w:fldCharType="end"/>
      </w:r>
      <w:bookmarkEnd w:id="37"/>
      <w:r w:rsidR="00D17FBC">
        <w:t xml:space="preserve"> - </w:t>
      </w:r>
      <w:r>
        <w:t>Simulated PSC pulses at the M1 position</w:t>
      </w:r>
      <w:bookmarkEnd w:id="38"/>
    </w:p>
    <w:p w14:paraId="684AD2A3" w14:textId="77777777" w:rsidR="00A53378" w:rsidRPr="00A53378" w:rsidRDefault="00A53378" w:rsidP="00A53378"/>
    <w:p w14:paraId="273AF14B" w14:textId="436AEE77" w:rsidR="00A55C70" w:rsidRPr="00AE5630" w:rsidRDefault="00E50D47" w:rsidP="00A55C70">
      <w:pPr>
        <w:rPr>
          <w:rFonts w:cs="Segoe UI Historic"/>
        </w:rPr>
      </w:pPr>
      <w:r w:rsidRPr="00AE5630">
        <w:rPr>
          <w:rFonts w:cs="Segoe UI Historic"/>
        </w:rPr>
        <w:lastRenderedPageBreak/>
        <w:t>The envisioned to-do list for PSC hot commissioning is the following</w:t>
      </w:r>
    </w:p>
    <w:p w14:paraId="782FDA4F" w14:textId="33D6B66A" w:rsidR="00E50D47" w:rsidRPr="00AE5630" w:rsidRDefault="00E50D47" w:rsidP="00D23FD6">
      <w:pPr>
        <w:pStyle w:val="ListParagraph"/>
        <w:numPr>
          <w:ilvl w:val="0"/>
          <w:numId w:val="25"/>
        </w:numPr>
        <w:rPr>
          <w:rFonts w:cs="Segoe UI Historic"/>
        </w:rPr>
      </w:pPr>
      <w:r w:rsidRPr="00AE5630">
        <w:rPr>
          <w:rFonts w:cs="Segoe UI Historic"/>
        </w:rPr>
        <w:t xml:space="preserve">For each of the PSC discs, slow scan each of them over the guide opening, confirming that the phase where the edge of the chopper disc opening starts overlapping with the guide </w:t>
      </w:r>
      <w:r w:rsidR="003958AA" w:rsidRPr="00AE5630">
        <w:rPr>
          <w:rFonts w:cs="Segoe UI Historic"/>
        </w:rPr>
        <w:t>centre</w:t>
      </w:r>
      <w:r w:rsidRPr="00AE5630">
        <w:rPr>
          <w:rFonts w:cs="Segoe UI Historic"/>
        </w:rPr>
        <w:t xml:space="preserve"> is as expected – via a M1 intensity versus phase plot</w:t>
      </w:r>
      <w:r w:rsidR="005C7438" w:rsidRPr="00AE5630">
        <w:rPr>
          <w:rFonts w:cs="Segoe UI Historic"/>
        </w:rPr>
        <w:br/>
      </w:r>
      <w:r w:rsidR="005C7438" w:rsidRPr="00AE5630">
        <w:rPr>
          <w:rFonts w:cs="Segoe UI Historic"/>
          <w:i/>
          <w:iCs/>
        </w:rPr>
        <w:t>Criterion for success: Midpoint of sweep curve has the phase expected from chopper control</w:t>
      </w:r>
      <w:r w:rsidR="005C7438" w:rsidRPr="00AE5630">
        <w:rPr>
          <w:rFonts w:cs="Segoe UI Historic"/>
          <w:i/>
          <w:iCs/>
        </w:rPr>
        <w:br/>
      </w:r>
    </w:p>
    <w:p w14:paraId="554B2BAF" w14:textId="6D569B3F" w:rsidR="00E50D47" w:rsidRPr="00AE5630" w:rsidRDefault="00E50D47" w:rsidP="00D23FD6">
      <w:pPr>
        <w:pStyle w:val="ListParagraph"/>
        <w:numPr>
          <w:ilvl w:val="0"/>
          <w:numId w:val="25"/>
        </w:numPr>
        <w:rPr>
          <w:rFonts w:cs="Segoe UI Historic"/>
        </w:rPr>
      </w:pPr>
      <w:r w:rsidRPr="00AE5630">
        <w:rPr>
          <w:rFonts w:cs="Segoe UI Historic"/>
        </w:rPr>
        <w:t xml:space="preserve">Rotate each disc at 14 Hz – separately, confirming this phase calibration at 14 Hz – using an M1 time histogram. </w:t>
      </w:r>
      <w:r w:rsidR="005C7438" w:rsidRPr="00AE5630">
        <w:rPr>
          <w:rFonts w:cs="Segoe UI Historic"/>
          <w:i/>
          <w:iCs/>
        </w:rPr>
        <w:t>Criterion:</w:t>
      </w:r>
      <w:r w:rsidRPr="00AE5630">
        <w:rPr>
          <w:rFonts w:cs="Segoe UI Historic"/>
          <w:i/>
          <w:iCs/>
        </w:rPr>
        <w:t xml:space="preserve"> cutoff time should be </w:t>
      </w:r>
      <w:r w:rsidR="003958AA" w:rsidRPr="00AE5630">
        <w:rPr>
          <w:rFonts w:cs="Segoe UI Historic"/>
          <w:i/>
          <w:iCs/>
        </w:rPr>
        <w:t>in line</w:t>
      </w:r>
      <w:r w:rsidRPr="00AE5630">
        <w:rPr>
          <w:rFonts w:cs="Segoe UI Historic"/>
          <w:i/>
          <w:iCs/>
        </w:rPr>
        <w:t xml:space="preserve"> with that expected from the spindle phase and frequency information.</w:t>
      </w:r>
      <w:r w:rsidRPr="00AE5630">
        <w:rPr>
          <w:rFonts w:cs="Segoe UI Historic"/>
        </w:rPr>
        <w:t xml:space="preserve"> </w:t>
      </w:r>
    </w:p>
    <w:p w14:paraId="58DA7162" w14:textId="7DE7DF39" w:rsidR="00E50D47" w:rsidRPr="00AE5630" w:rsidRDefault="00E50D47" w:rsidP="00D23FD6">
      <w:pPr>
        <w:pStyle w:val="ListParagraph"/>
        <w:numPr>
          <w:ilvl w:val="0"/>
          <w:numId w:val="25"/>
        </w:numPr>
        <w:rPr>
          <w:rFonts w:cs="Segoe UI Historic"/>
        </w:rPr>
      </w:pPr>
      <w:r w:rsidRPr="00AE5630">
        <w:rPr>
          <w:rFonts w:cs="Segoe UI Historic"/>
        </w:rPr>
        <w:t>For each disc, repeat this measurement at max speed (126 Hz or 210 Hz, depending on the disc)</w:t>
      </w:r>
      <w:r w:rsidR="005C7438" w:rsidRPr="00AE5630">
        <w:rPr>
          <w:rFonts w:cs="Segoe UI Historic"/>
        </w:rPr>
        <w:br/>
      </w:r>
    </w:p>
    <w:p w14:paraId="3B8F0F4F" w14:textId="493AB97F" w:rsidR="00CC40D4" w:rsidRPr="00AE5630" w:rsidRDefault="00AC464D" w:rsidP="00D23FD6">
      <w:pPr>
        <w:pStyle w:val="ListParagraph"/>
        <w:numPr>
          <w:ilvl w:val="0"/>
          <w:numId w:val="25"/>
        </w:numPr>
        <w:rPr>
          <w:rFonts w:cs="Segoe UI Historic"/>
        </w:rPr>
      </w:pPr>
      <w:r w:rsidRPr="00AE5630">
        <w:rPr>
          <w:rFonts w:cs="Segoe UI Historic"/>
        </w:rPr>
        <w:t xml:space="preserve">Spinning both discs at max speed in corotating mode, set the PSC opening time to </w:t>
      </w:r>
      <w:r w:rsidRPr="00AE5630">
        <w:rPr>
          <w:rFonts w:cs="Segoe UI Historic"/>
          <w:i/>
          <w:iCs/>
        </w:rPr>
        <w:t xml:space="preserve">its minimum, 0.1 ms. </w:t>
      </w:r>
      <w:r w:rsidRPr="00AE5630">
        <w:rPr>
          <w:rFonts w:cs="Segoe UI Historic"/>
        </w:rPr>
        <w:t xml:space="preserve">Record a </w:t>
      </w:r>
      <w:r w:rsidR="003958AA" w:rsidRPr="00AE5630">
        <w:rPr>
          <w:rFonts w:cs="Segoe UI Historic"/>
        </w:rPr>
        <w:t>well-defined</w:t>
      </w:r>
      <w:r w:rsidRPr="00AE5630">
        <w:rPr>
          <w:rFonts w:cs="Segoe UI Historic"/>
        </w:rPr>
        <w:t xml:space="preserve"> peak in a M1 time histogram</w:t>
      </w:r>
      <w:r w:rsidR="005C7438" w:rsidRPr="00AE5630">
        <w:rPr>
          <w:rFonts w:cs="Segoe UI Historic"/>
        </w:rPr>
        <w:t xml:space="preserve">. </w:t>
      </w:r>
      <w:r w:rsidR="005C7438" w:rsidRPr="00AE5630">
        <w:rPr>
          <w:rFonts w:cs="Segoe UI Historic"/>
          <w:i/>
          <w:iCs/>
        </w:rPr>
        <w:t>Criterion:</w:t>
      </w:r>
      <w:r w:rsidRPr="00AE5630">
        <w:rPr>
          <w:rFonts w:cs="Segoe UI Historic"/>
          <w:i/>
          <w:iCs/>
        </w:rPr>
        <w:t xml:space="preserve"> verify that sweep time and mean v</w:t>
      </w:r>
      <w:r w:rsidRPr="00AE5630">
        <w:rPr>
          <w:rFonts w:eastAsia="MS Gothic" w:cs="Segoe UI Historic"/>
          <w:i/>
          <w:iCs/>
        </w:rPr>
        <w:t>alue of the PSC pulse is as expected.</w:t>
      </w:r>
      <w:r w:rsidRPr="00AE5630">
        <w:rPr>
          <w:rFonts w:eastAsia="MS Gothic" w:cs="Segoe UI Historic"/>
        </w:rPr>
        <w:t xml:space="preserve"> Record 3 histograms pr hour overnight</w:t>
      </w:r>
      <w:r w:rsidR="005C7438" w:rsidRPr="00AE5630">
        <w:rPr>
          <w:rFonts w:eastAsia="MS Gothic" w:cs="Segoe UI Historic"/>
        </w:rPr>
        <w:t>. Criterion:</w:t>
      </w:r>
      <w:r w:rsidRPr="00AE5630">
        <w:rPr>
          <w:rFonts w:eastAsia="MS Gothic" w:cs="Segoe UI Historic"/>
        </w:rPr>
        <w:t xml:space="preserve"> </w:t>
      </w:r>
      <w:r w:rsidR="005C7438" w:rsidRPr="00AE5630">
        <w:rPr>
          <w:rFonts w:eastAsia="MS Gothic" w:cs="Segoe UI Historic"/>
        </w:rPr>
        <w:t>V</w:t>
      </w:r>
      <w:r w:rsidRPr="00AE5630">
        <w:rPr>
          <w:rFonts w:eastAsia="MS Gothic" w:cs="Segoe UI Historic"/>
        </w:rPr>
        <w:t xml:space="preserve">erify that the peak is stable on </w:t>
      </w:r>
      <w:r w:rsidR="002509C9" w:rsidRPr="00AE5630">
        <w:rPr>
          <w:rFonts w:eastAsia="MS Gothic" w:cs="Segoe UI Historic"/>
        </w:rPr>
        <w:t>the</w:t>
      </w:r>
      <w:r w:rsidRPr="00AE5630">
        <w:rPr>
          <w:rFonts w:eastAsia="MS Gothic" w:cs="Segoe UI Historic"/>
        </w:rPr>
        <w:t xml:space="preserve"> timescale</w:t>
      </w:r>
      <w:r w:rsidR="002509C9" w:rsidRPr="00AE5630">
        <w:rPr>
          <w:rFonts w:eastAsia="MS Gothic" w:cs="Segoe UI Historic"/>
        </w:rPr>
        <w:t xml:space="preserve"> of 1 day</w:t>
      </w:r>
      <w:r w:rsidRPr="00AE5630">
        <w:rPr>
          <w:rFonts w:eastAsia="MS Gothic" w:cs="Segoe UI Historic"/>
        </w:rPr>
        <w:t xml:space="preserve"> – the time histograms should overlap after being normalized with respect to </w:t>
      </w:r>
      <w:r w:rsidR="003958AA" w:rsidRPr="00AE5630">
        <w:rPr>
          <w:rFonts w:eastAsia="MS Gothic" w:cs="Segoe UI Historic"/>
        </w:rPr>
        <w:t>each other</w:t>
      </w:r>
      <w:r w:rsidRPr="00AE5630">
        <w:rPr>
          <w:rFonts w:eastAsia="MS Gothic" w:cs="Segoe UI Historic"/>
        </w:rPr>
        <w:t xml:space="preserve">. </w:t>
      </w:r>
      <w:r w:rsidR="00CC40D4" w:rsidRPr="00AE5630">
        <w:rPr>
          <w:rFonts w:eastAsia="MS Gothic" w:cs="Segoe UI Historic"/>
        </w:rPr>
        <w:br/>
      </w:r>
    </w:p>
    <w:p w14:paraId="01A373DD" w14:textId="1BD075B2" w:rsidR="00834619" w:rsidRPr="00AE5630" w:rsidRDefault="00CC40D4" w:rsidP="00D23FD6">
      <w:pPr>
        <w:pStyle w:val="ListParagraph"/>
        <w:numPr>
          <w:ilvl w:val="0"/>
          <w:numId w:val="25"/>
        </w:numPr>
        <w:rPr>
          <w:rFonts w:cs="Segoe UI Historic"/>
        </w:rPr>
      </w:pPr>
      <w:r w:rsidRPr="00AE5630">
        <w:rPr>
          <w:rFonts w:eastAsia="MS Gothic" w:cs="Segoe UI Historic"/>
        </w:rPr>
        <w:t xml:space="preserve">Jitter check: Make a small slit with the PSC </w:t>
      </w:r>
      <w:r w:rsidR="003958AA" w:rsidRPr="00AE5630">
        <w:rPr>
          <w:rFonts w:eastAsia="MS Gothic" w:cs="Segoe UI Historic"/>
        </w:rPr>
        <w:t>phasing and</w:t>
      </w:r>
      <w:r w:rsidRPr="00AE5630">
        <w:rPr>
          <w:rFonts w:eastAsia="MS Gothic" w:cs="Segoe UI Historic"/>
        </w:rPr>
        <w:t xml:space="preserve"> create a narrow 10-20 us peak – and confirm during a long measurement that the peak width is constant and as expected. </w:t>
      </w:r>
      <w:r w:rsidR="005C7438" w:rsidRPr="00AE5630">
        <w:rPr>
          <w:rFonts w:eastAsia="MS Gothic" w:cs="Segoe UI Historic"/>
        </w:rPr>
        <w:br/>
      </w:r>
    </w:p>
    <w:p w14:paraId="55EBEECB" w14:textId="01402B45" w:rsidR="00AC464D" w:rsidRPr="00AE5630" w:rsidRDefault="00624D96" w:rsidP="00D23FD6">
      <w:pPr>
        <w:pStyle w:val="ListParagraph"/>
        <w:numPr>
          <w:ilvl w:val="0"/>
          <w:numId w:val="25"/>
        </w:numPr>
        <w:rPr>
          <w:rFonts w:cs="Segoe UI Historic"/>
        </w:rPr>
      </w:pPr>
      <w:r w:rsidRPr="00AE5630">
        <w:rPr>
          <w:rFonts w:eastAsia="MS Gothic" w:cs="Segoe UI Historic"/>
        </w:rPr>
        <w:t>At max speed, a</w:t>
      </w:r>
      <w:r w:rsidR="00AC464D" w:rsidRPr="00AE5630">
        <w:rPr>
          <w:rFonts w:eastAsia="MS Gothic" w:cs="Segoe UI Historic"/>
        </w:rPr>
        <w:t>djust the phase of the PSC peak relative to the proton pulse</w:t>
      </w:r>
      <w:r w:rsidRPr="00AE5630">
        <w:rPr>
          <w:rFonts w:eastAsia="MS Gothic" w:cs="Segoe UI Historic"/>
        </w:rPr>
        <w:t xml:space="preserve">. </w:t>
      </w:r>
      <w:r w:rsidRPr="00AE5630">
        <w:rPr>
          <w:rFonts w:eastAsia="MS Gothic" w:cs="Segoe UI Historic"/>
          <w:i/>
          <w:iCs/>
        </w:rPr>
        <w:t>C</w:t>
      </w:r>
      <w:r w:rsidR="00AC464D" w:rsidRPr="00AE5630">
        <w:rPr>
          <w:rFonts w:eastAsia="MS Gothic" w:cs="Segoe UI Historic"/>
          <w:i/>
          <w:iCs/>
        </w:rPr>
        <w:t>onfirm that the T</w:t>
      </w:r>
      <w:r w:rsidR="00AC464D" w:rsidRPr="00AE5630">
        <w:rPr>
          <w:rFonts w:eastAsia="MS Gothic" w:cs="Segoe UI Historic"/>
          <w:i/>
          <w:iCs/>
          <w:vertAlign w:val="subscript"/>
        </w:rPr>
        <w:t xml:space="preserve">0 </w:t>
      </w:r>
      <w:r w:rsidR="00AC464D" w:rsidRPr="00AE5630">
        <w:rPr>
          <w:rFonts w:eastAsia="MS Gothic" w:cs="Segoe UI Historic"/>
          <w:i/>
          <w:iCs/>
        </w:rPr>
        <w:t xml:space="preserve">cutoff is as expected. Verify and characterize the M1 time histogram for all recorded phases with enough statistics. </w:t>
      </w:r>
      <w:r w:rsidRPr="00AE5630">
        <w:rPr>
          <w:rFonts w:eastAsia="MS Gothic" w:cs="Segoe UI Historic"/>
          <w:i/>
          <w:iCs/>
        </w:rPr>
        <w:br/>
      </w:r>
    </w:p>
    <w:p w14:paraId="090134DD" w14:textId="2D8BEADA" w:rsidR="00AC464D" w:rsidRPr="00AE5630" w:rsidRDefault="00AC464D" w:rsidP="00D23FD6">
      <w:pPr>
        <w:pStyle w:val="ListParagraph"/>
        <w:numPr>
          <w:ilvl w:val="0"/>
          <w:numId w:val="25"/>
        </w:numPr>
        <w:rPr>
          <w:rFonts w:cs="Segoe UI Historic"/>
        </w:rPr>
      </w:pPr>
      <w:r w:rsidRPr="00AE5630">
        <w:rPr>
          <w:rFonts w:eastAsia="MS Gothic" w:cs="Segoe UI Historic"/>
        </w:rPr>
        <w:t>Finally, v</w:t>
      </w:r>
      <w:r w:rsidR="00624D96" w:rsidRPr="00AE5630">
        <w:rPr>
          <w:rFonts w:eastAsia="MS Gothic" w:cs="Segoe UI Historic"/>
        </w:rPr>
        <w:t>a</w:t>
      </w:r>
      <w:r w:rsidRPr="00AE5630">
        <w:rPr>
          <w:rFonts w:eastAsia="MS Gothic" w:cs="Segoe UI Historic"/>
        </w:rPr>
        <w:t>ry the PSC pulse</w:t>
      </w:r>
      <w:r w:rsidR="00624D96" w:rsidRPr="00AE5630">
        <w:rPr>
          <w:rFonts w:eastAsia="MS Gothic" w:cs="Segoe UI Historic"/>
        </w:rPr>
        <w:t xml:space="preserve"> width at max speed</w:t>
      </w:r>
      <w:r w:rsidRPr="00AE5630">
        <w:rPr>
          <w:rFonts w:eastAsia="MS Gothic" w:cs="Segoe UI Historic"/>
        </w:rPr>
        <w:t xml:space="preserve">, </w:t>
      </w:r>
      <w:r w:rsidRPr="00AE5630">
        <w:rPr>
          <w:rFonts w:eastAsia="MS Gothic" w:cs="Segoe UI Historic"/>
          <w:i/>
          <w:iCs/>
        </w:rPr>
        <w:t xml:space="preserve">ensuring that the relative phasing of the two PSC disc is as expected, and give the peak shapes shown in </w:t>
      </w:r>
      <w:r w:rsidRPr="00AE5630">
        <w:rPr>
          <w:rFonts w:eastAsia="MS Gothic" w:cs="Segoe UI Historic"/>
          <w:i/>
          <w:iCs/>
        </w:rPr>
        <w:fldChar w:fldCharType="begin"/>
      </w:r>
      <w:r w:rsidRPr="00AE5630">
        <w:rPr>
          <w:rFonts w:eastAsia="MS Gothic" w:cs="Segoe UI Historic"/>
          <w:i/>
          <w:iCs/>
        </w:rPr>
        <w:instrText xml:space="preserve"> REF _Ref196420513 \h </w:instrText>
      </w:r>
      <w:r w:rsidR="00624D96" w:rsidRPr="00AE5630">
        <w:rPr>
          <w:rFonts w:eastAsia="MS Gothic" w:cs="Segoe UI Historic"/>
          <w:i/>
          <w:iCs/>
        </w:rPr>
        <w:instrText xml:space="preserve"> \* MERGEFORMAT </w:instrText>
      </w:r>
      <w:r w:rsidRPr="00AE5630">
        <w:rPr>
          <w:rFonts w:eastAsia="MS Gothic" w:cs="Segoe UI Historic"/>
          <w:i/>
          <w:iCs/>
        </w:rPr>
      </w:r>
      <w:r w:rsidRPr="00AE5630">
        <w:rPr>
          <w:rFonts w:eastAsia="MS Gothic" w:cs="Segoe UI Historic"/>
          <w:i/>
          <w:iCs/>
        </w:rPr>
        <w:fldChar w:fldCharType="separate"/>
      </w:r>
      <w:r w:rsidR="00F23D1E" w:rsidRPr="00F23D1E">
        <w:rPr>
          <w:rFonts w:cs="Segoe UI Historic"/>
          <w:i/>
          <w:iCs/>
        </w:rPr>
        <w:t xml:space="preserve">Figure </w:t>
      </w:r>
      <w:r w:rsidR="00F23D1E" w:rsidRPr="00F23D1E">
        <w:rPr>
          <w:rFonts w:cs="Segoe UI Historic"/>
          <w:i/>
          <w:iCs/>
          <w:noProof/>
        </w:rPr>
        <w:t>3</w:t>
      </w:r>
      <w:r w:rsidRPr="00AE5630">
        <w:rPr>
          <w:rFonts w:eastAsia="MS Gothic" w:cs="Segoe UI Historic"/>
          <w:i/>
          <w:iCs/>
        </w:rPr>
        <w:fldChar w:fldCharType="end"/>
      </w:r>
      <w:r w:rsidRPr="00AE5630">
        <w:rPr>
          <w:rFonts w:eastAsia="MS Gothic" w:cs="Segoe UI Historic"/>
          <w:i/>
          <w:iCs/>
        </w:rPr>
        <w:t>.</w:t>
      </w:r>
      <w:r w:rsidRPr="00AE5630">
        <w:rPr>
          <w:rFonts w:eastAsia="MS Gothic" w:cs="Segoe UI Historic"/>
        </w:rPr>
        <w:t xml:space="preserve"> </w:t>
      </w:r>
    </w:p>
    <w:p w14:paraId="1B480EC2" w14:textId="5D857D62" w:rsidR="00AC464D" w:rsidRPr="00A53378" w:rsidRDefault="00CC40D4" w:rsidP="00AC464D">
      <w:pPr>
        <w:rPr>
          <w:rFonts w:cs="Segoe UI Historic"/>
        </w:rPr>
      </w:pPr>
      <w:r w:rsidRPr="00AE5630">
        <w:rPr>
          <w:rFonts w:cs="Segoe UI Historic"/>
        </w:rPr>
        <w:t>Note: While the PSC commissioning is going on,  certain measurements can be performed simultaneously. One can open up the chopper system, park the slower choppers in open, place a vanadium sample on the sample position, and illuminate the detectors fully. This would allow calibration of detector edges</w:t>
      </w:r>
      <w:r w:rsidR="008443FA" w:rsidRPr="00AE5630">
        <w:rPr>
          <w:rFonts w:cs="Segoe UI Historic"/>
        </w:rPr>
        <w:t xml:space="preserve"> – like described in </w:t>
      </w:r>
      <w:r w:rsidR="008443FA" w:rsidRPr="00AE5630">
        <w:rPr>
          <w:rFonts w:cs="Segoe UI Historic"/>
        </w:rPr>
        <w:fldChar w:fldCharType="begin"/>
      </w:r>
      <w:r w:rsidR="008443FA" w:rsidRPr="00AE5630">
        <w:rPr>
          <w:rFonts w:cs="Segoe UI Historic"/>
        </w:rPr>
        <w:instrText xml:space="preserve"> REF _Ref199255161 \r \h </w:instrText>
      </w:r>
      <w:r w:rsidR="00AE5630" w:rsidRPr="00AE5630">
        <w:rPr>
          <w:rFonts w:cs="Segoe UI Historic"/>
        </w:rPr>
        <w:instrText xml:space="preserve"> \* MERGEFORMAT </w:instrText>
      </w:r>
      <w:r w:rsidR="008443FA" w:rsidRPr="00AE5630">
        <w:rPr>
          <w:rFonts w:cs="Segoe UI Historic"/>
        </w:rPr>
      </w:r>
      <w:r w:rsidR="008443FA" w:rsidRPr="00AE5630">
        <w:rPr>
          <w:rFonts w:cs="Segoe UI Historic"/>
        </w:rPr>
        <w:fldChar w:fldCharType="separate"/>
      </w:r>
      <w:r w:rsidR="00F23D1E">
        <w:rPr>
          <w:rFonts w:cs="Segoe UI Historic"/>
        </w:rPr>
        <w:t>3.7.1</w:t>
      </w:r>
      <w:r w:rsidR="008443FA" w:rsidRPr="00AE5630">
        <w:rPr>
          <w:rFonts w:cs="Segoe UI Historic"/>
        </w:rPr>
        <w:fldChar w:fldCharType="end"/>
      </w:r>
      <w:r w:rsidR="00A53378">
        <w:rPr>
          <w:rFonts w:cs="Segoe UI Historic"/>
        </w:rPr>
        <w:t>.</w:t>
      </w:r>
    </w:p>
    <w:p w14:paraId="37D295AE" w14:textId="6B300438" w:rsidR="00AC464D" w:rsidRDefault="00AE5630" w:rsidP="00AE5630">
      <w:pPr>
        <w:pStyle w:val="Heading3"/>
      </w:pPr>
      <w:r>
        <w:t xml:space="preserve"> </w:t>
      </w:r>
      <w:bookmarkStart w:id="39" w:name="_Toc199928638"/>
      <w:r w:rsidR="00AC464D" w:rsidRPr="00AE5630">
        <w:t>Frame</w:t>
      </w:r>
      <w:r w:rsidR="00AC464D">
        <w:t xml:space="preserve"> overlap choppers – Ionization beam monitor </w:t>
      </w:r>
      <w:r w:rsidR="00075D4B">
        <w:t>1</w:t>
      </w:r>
      <w:r w:rsidR="00AC464D">
        <w:t xml:space="preserve"> (M2)</w:t>
      </w:r>
      <w:r w:rsidR="009B498E">
        <w:t xml:space="preserve"> (</w:t>
      </w:r>
      <w:r w:rsidR="008E5B66">
        <w:t>1</w:t>
      </w:r>
      <w:r w:rsidR="009B498E">
        <w:t xml:space="preserve"> days)</w:t>
      </w:r>
      <w:bookmarkEnd w:id="39"/>
    </w:p>
    <w:p w14:paraId="7126257F" w14:textId="760369C1" w:rsidR="00830CCF" w:rsidRPr="00985CA6" w:rsidRDefault="00830CCF" w:rsidP="00D35578">
      <w:pPr>
        <w:pBdr>
          <w:top w:val="single" w:sz="4" w:space="1" w:color="auto"/>
          <w:left w:val="single" w:sz="4" w:space="4" w:color="auto"/>
          <w:bottom w:val="single" w:sz="4" w:space="1" w:color="auto"/>
          <w:right w:val="single" w:sz="4" w:space="4" w:color="auto"/>
        </w:pBdr>
        <w:rPr>
          <w:b/>
          <w:bCs/>
        </w:rPr>
      </w:pPr>
      <w:r w:rsidRPr="00985CA6">
        <w:rPr>
          <w:b/>
          <w:bCs/>
        </w:rPr>
        <w:t>FBS:</w:t>
      </w:r>
      <w:r w:rsidRPr="00985CA6">
        <w:rPr>
          <w:b/>
          <w:bCs/>
        </w:rPr>
        <w:tab/>
        <w:t>ESS.NSS.H01.BIFRO.A01.R01.R01.R02 – FOC-1 Mechanical assembly</w:t>
      </w:r>
    </w:p>
    <w:p w14:paraId="129FDC3A" w14:textId="6FFD57D4" w:rsidR="00830CCF" w:rsidRPr="00985CA6" w:rsidRDefault="00830CCF" w:rsidP="00D35578">
      <w:pPr>
        <w:pBdr>
          <w:top w:val="single" w:sz="4" w:space="1" w:color="auto"/>
          <w:left w:val="single" w:sz="4" w:space="4" w:color="auto"/>
          <w:bottom w:val="single" w:sz="4" w:space="1" w:color="auto"/>
          <w:right w:val="single" w:sz="4" w:space="4" w:color="auto"/>
        </w:pBdr>
        <w:ind w:firstLine="720"/>
        <w:rPr>
          <w:b/>
          <w:bCs/>
        </w:rPr>
      </w:pPr>
      <w:r w:rsidRPr="00985CA6">
        <w:rPr>
          <w:b/>
          <w:bCs/>
        </w:rPr>
        <w:t>ESS.NSS.H01.BIFRO.A01.R01.R01.R03 – FOC-2 Mechanical assembly</w:t>
      </w:r>
    </w:p>
    <w:p w14:paraId="4C36441F" w14:textId="15004BE3" w:rsidR="00830CCF" w:rsidRPr="00985CA6" w:rsidRDefault="00830CCF" w:rsidP="00D35578">
      <w:pPr>
        <w:pBdr>
          <w:top w:val="single" w:sz="4" w:space="1" w:color="auto"/>
          <w:left w:val="single" w:sz="4" w:space="4" w:color="auto"/>
          <w:bottom w:val="single" w:sz="4" w:space="1" w:color="auto"/>
          <w:right w:val="single" w:sz="4" w:space="4" w:color="auto"/>
        </w:pBdr>
        <w:rPr>
          <w:b/>
          <w:bCs/>
        </w:rPr>
      </w:pPr>
      <w:r w:rsidRPr="00985CA6">
        <w:rPr>
          <w:b/>
          <w:bCs/>
        </w:rPr>
        <w:tab/>
        <w:t>ESS.NSS.H01.BIFRO.A01.R01.R01.K01 – Bunker control system</w:t>
      </w:r>
    </w:p>
    <w:p w14:paraId="3468650E" w14:textId="7804F320" w:rsidR="00830CCF" w:rsidRPr="00985CA6" w:rsidRDefault="00830CCF" w:rsidP="00D35578">
      <w:pPr>
        <w:pBdr>
          <w:top w:val="single" w:sz="4" w:space="1" w:color="auto"/>
          <w:left w:val="single" w:sz="4" w:space="4" w:color="auto"/>
          <w:bottom w:val="single" w:sz="4" w:space="1" w:color="auto"/>
          <w:right w:val="single" w:sz="4" w:space="4" w:color="auto"/>
        </w:pBdr>
        <w:ind w:firstLine="720"/>
        <w:rPr>
          <w:b/>
          <w:bCs/>
        </w:rPr>
      </w:pPr>
      <w:r w:rsidRPr="00985CA6">
        <w:rPr>
          <w:b/>
          <w:bCs/>
        </w:rPr>
        <w:t>ESS.NSS.H01.BIFRO.A01.B01.B02 – Beam monitor M2</w:t>
      </w:r>
    </w:p>
    <w:p w14:paraId="78BBA4DB" w14:textId="6C24AB5F" w:rsidR="00830CCF" w:rsidRPr="00985CA6" w:rsidRDefault="00830CCF" w:rsidP="00D35578">
      <w:pPr>
        <w:pBdr>
          <w:top w:val="single" w:sz="4" w:space="1" w:color="auto"/>
          <w:left w:val="single" w:sz="4" w:space="4" w:color="auto"/>
          <w:bottom w:val="single" w:sz="4" w:space="1" w:color="auto"/>
          <w:right w:val="single" w:sz="4" w:space="4" w:color="auto"/>
        </w:pBdr>
        <w:rPr>
          <w:b/>
          <w:bCs/>
        </w:rPr>
      </w:pPr>
      <w:r w:rsidRPr="00985CA6">
        <w:rPr>
          <w:b/>
          <w:bCs/>
        </w:rPr>
        <w:tab/>
        <w:t>ESS.NSS.H01.BIFRO.A01.B01.C02 – Beam monitor M2 DAQ system</w:t>
      </w:r>
    </w:p>
    <w:p w14:paraId="1F0B9F32" w14:textId="3515FF5E" w:rsidR="00AC464D" w:rsidRDefault="00AC464D" w:rsidP="00AC464D">
      <w:r>
        <w:t>Once the PSC and spectrum has been commission</w:t>
      </w:r>
      <w:r w:rsidR="00075D4B">
        <w:t xml:space="preserve">ed, pulses with well known shape, intensity and timing can be adjusted at the PSC position. There are two FOCs preventing frame overlap. These both spin at 14 Hz and have an opening adjusted to the maximum allowable, to </w:t>
      </w:r>
      <w:r w:rsidR="009B498E">
        <w:t>creat</w:t>
      </w:r>
      <w:r w:rsidR="003C1FC6">
        <w:t>e</w:t>
      </w:r>
      <w:r w:rsidR="00075D4B">
        <w:t xml:space="preserve"> margins. The functionality of </w:t>
      </w:r>
      <w:r w:rsidR="003958AA">
        <w:t>these two choppers</w:t>
      </w:r>
      <w:r w:rsidR="00075D4B">
        <w:t xml:space="preserve"> can be tested by the ionization beam monitor (IBM), which </w:t>
      </w:r>
      <w:r w:rsidR="00075D4B">
        <w:lastRenderedPageBreak/>
        <w:t>deliver an intensity versus time histogram with an adjustable offset and time bin. The IBM is analogue, and does not deliver events, and therefore a histogram is the only analysis option.</w:t>
      </w:r>
    </w:p>
    <w:p w14:paraId="3FBF46CF" w14:textId="6CBD0978" w:rsidR="00075D4B" w:rsidRDefault="00075D4B" w:rsidP="00AC464D">
      <w:r>
        <w:t>The test of the FOC system is as follows:</w:t>
      </w:r>
    </w:p>
    <w:p w14:paraId="5CF8BC56" w14:textId="054AF693" w:rsidR="00075D4B" w:rsidRDefault="00075D4B" w:rsidP="00D23FD6">
      <w:pPr>
        <w:pStyle w:val="ListParagraph"/>
        <w:numPr>
          <w:ilvl w:val="0"/>
          <w:numId w:val="26"/>
        </w:numPr>
      </w:pPr>
      <w:r>
        <w:t>Spin the two FOCs at 14 Hz and the desired phase, as determined by the phasing of the PSC relative to T</w:t>
      </w:r>
      <w:r w:rsidRPr="00075D4B">
        <w:rPr>
          <w:vertAlign w:val="subscript"/>
        </w:rPr>
        <w:t>0</w:t>
      </w:r>
      <w:r>
        <w:t xml:space="preserve">. Scan the phase of each FOC, to </w:t>
      </w:r>
      <w:r w:rsidRPr="00D71624">
        <w:rPr>
          <w:i/>
          <w:iCs/>
        </w:rPr>
        <w:t>confirm both cut-off points, at which the FOCs are sufficiently dephased to fully absorb the PSC pulse</w:t>
      </w:r>
      <w:r>
        <w:t xml:space="preserve">. The phase difference between the desired phase, and each of the cut-off points should be the same, </w:t>
      </w:r>
      <w:r w:rsidRPr="00D71624">
        <w:rPr>
          <w:i/>
          <w:iCs/>
        </w:rPr>
        <w:t>to confirm that that the phasing of the FOC is calibrated to the PSC</w:t>
      </w:r>
      <w:r w:rsidR="00946D47">
        <w:br/>
      </w:r>
    </w:p>
    <w:p w14:paraId="32334CB9" w14:textId="1118E878" w:rsidR="00075D4B" w:rsidRDefault="00075D4B" w:rsidP="00D23FD6">
      <w:pPr>
        <w:pStyle w:val="ListParagraph"/>
        <w:numPr>
          <w:ilvl w:val="0"/>
          <w:numId w:val="26"/>
        </w:numPr>
      </w:pPr>
      <w:r>
        <w:t xml:space="preserve">In a </w:t>
      </w:r>
      <w:r w:rsidR="000B4020">
        <w:t>24-hour</w:t>
      </w:r>
      <w:r>
        <w:t xml:space="preserve"> measurement, </w:t>
      </w:r>
      <w:r w:rsidRPr="00D71624">
        <w:rPr>
          <w:i/>
          <w:iCs/>
        </w:rPr>
        <w:t>confirm that there are no additional frames</w:t>
      </w:r>
      <w:r>
        <w:t xml:space="preserve"> by measuring only the PSC pulse, with the expected ToF mean value and width, with enough statistics to measure satellites and parasites at least 3 orders of magnitude weaker than the main peak. </w:t>
      </w:r>
    </w:p>
    <w:p w14:paraId="63DB5710" w14:textId="6525658E" w:rsidR="00075D4B" w:rsidRDefault="000B4020" w:rsidP="000B4020">
      <w:pPr>
        <w:pStyle w:val="Heading3"/>
      </w:pPr>
      <w:r>
        <w:t xml:space="preserve"> </w:t>
      </w:r>
      <w:bookmarkStart w:id="40" w:name="_Toc199928639"/>
      <w:r w:rsidR="00075D4B" w:rsidRPr="000B4020">
        <w:t>Bandwidth</w:t>
      </w:r>
      <w:r w:rsidR="00075D4B">
        <w:t xml:space="preserve"> chopper</w:t>
      </w:r>
      <w:r w:rsidR="009B498E">
        <w:t xml:space="preserve"> (BWC)</w:t>
      </w:r>
      <w:r w:rsidR="00075D4B">
        <w:t xml:space="preserve"> – Ionization beam monitor 2 (M3)</w:t>
      </w:r>
      <w:r w:rsidR="00C16029">
        <w:t xml:space="preserve"> (</w:t>
      </w:r>
      <w:r w:rsidR="008E5B66">
        <w:t>2</w:t>
      </w:r>
      <w:r w:rsidR="00C16029">
        <w:t xml:space="preserve"> days)</w:t>
      </w:r>
      <w:bookmarkEnd w:id="40"/>
    </w:p>
    <w:p w14:paraId="29CFB421" w14:textId="256E9652" w:rsidR="008A1FD0" w:rsidRDefault="008A1FD0" w:rsidP="00D35578">
      <w:pPr>
        <w:pBdr>
          <w:top w:val="single" w:sz="4" w:space="1" w:color="auto"/>
          <w:left w:val="single" w:sz="4" w:space="4" w:color="auto"/>
          <w:bottom w:val="single" w:sz="4" w:space="1" w:color="auto"/>
          <w:right w:val="single" w:sz="4" w:space="4" w:color="auto"/>
        </w:pBdr>
        <w:rPr>
          <w:b/>
          <w:bCs/>
        </w:rPr>
      </w:pPr>
      <w:r>
        <w:rPr>
          <w:b/>
          <w:bCs/>
        </w:rPr>
        <w:t>FBS:</w:t>
      </w:r>
      <w:r>
        <w:rPr>
          <w:b/>
          <w:bCs/>
        </w:rPr>
        <w:tab/>
      </w:r>
      <w:r w:rsidRPr="008A1FD0">
        <w:rPr>
          <w:b/>
          <w:bCs/>
        </w:rPr>
        <w:t>ESS.NSS.H01.BIFRO.A01.R01.R02.R01</w:t>
      </w:r>
      <w:r>
        <w:rPr>
          <w:b/>
          <w:bCs/>
        </w:rPr>
        <w:t xml:space="preserve"> – BWC Mechanical assembly</w:t>
      </w:r>
    </w:p>
    <w:p w14:paraId="202D191F" w14:textId="705D8D7B" w:rsidR="008A1FD0" w:rsidRDefault="008A1FD0" w:rsidP="00D35578">
      <w:pPr>
        <w:pBdr>
          <w:top w:val="single" w:sz="4" w:space="1" w:color="auto"/>
          <w:left w:val="single" w:sz="4" w:space="4" w:color="auto"/>
          <w:bottom w:val="single" w:sz="4" w:space="1" w:color="auto"/>
          <w:right w:val="single" w:sz="4" w:space="4" w:color="auto"/>
        </w:pBdr>
        <w:rPr>
          <w:b/>
          <w:bCs/>
        </w:rPr>
      </w:pPr>
      <w:r>
        <w:rPr>
          <w:b/>
          <w:bCs/>
        </w:rPr>
        <w:tab/>
      </w:r>
      <w:r w:rsidRPr="008A1FD0">
        <w:rPr>
          <w:b/>
          <w:bCs/>
        </w:rPr>
        <w:t>ESS.NSS.H01.BIFRO.A01.R01.R02.K01</w:t>
      </w:r>
      <w:r>
        <w:rPr>
          <w:b/>
          <w:bCs/>
        </w:rPr>
        <w:t xml:space="preserve"> – BWC control system</w:t>
      </w:r>
    </w:p>
    <w:p w14:paraId="5FC47018" w14:textId="1C7DF41F" w:rsidR="008A1FD0" w:rsidRPr="00985CA6" w:rsidRDefault="008A1FD0" w:rsidP="00D35578">
      <w:pPr>
        <w:pBdr>
          <w:top w:val="single" w:sz="4" w:space="1" w:color="auto"/>
          <w:left w:val="single" w:sz="4" w:space="4" w:color="auto"/>
          <w:bottom w:val="single" w:sz="4" w:space="1" w:color="auto"/>
          <w:right w:val="single" w:sz="4" w:space="4" w:color="auto"/>
        </w:pBdr>
        <w:ind w:firstLine="720"/>
        <w:rPr>
          <w:b/>
          <w:bCs/>
        </w:rPr>
      </w:pPr>
      <w:r w:rsidRPr="00985CA6">
        <w:rPr>
          <w:b/>
          <w:bCs/>
        </w:rPr>
        <w:t>ESS.NSS.H01.BIFRO.A01.B01.B0</w:t>
      </w:r>
      <w:r>
        <w:rPr>
          <w:b/>
          <w:bCs/>
        </w:rPr>
        <w:t>3</w:t>
      </w:r>
      <w:r w:rsidRPr="00985CA6">
        <w:rPr>
          <w:b/>
          <w:bCs/>
        </w:rPr>
        <w:t xml:space="preserve"> – Beam monitor M</w:t>
      </w:r>
      <w:r>
        <w:rPr>
          <w:b/>
          <w:bCs/>
        </w:rPr>
        <w:t>3</w:t>
      </w:r>
    </w:p>
    <w:p w14:paraId="1C8639A5" w14:textId="47E4180C" w:rsidR="008A1FD0" w:rsidRPr="00D35578" w:rsidRDefault="008A1FD0" w:rsidP="00D35578">
      <w:pPr>
        <w:pBdr>
          <w:top w:val="single" w:sz="4" w:space="1" w:color="auto"/>
          <w:left w:val="single" w:sz="4" w:space="4" w:color="auto"/>
          <w:bottom w:val="single" w:sz="4" w:space="1" w:color="auto"/>
          <w:right w:val="single" w:sz="4" w:space="4" w:color="auto"/>
        </w:pBdr>
        <w:rPr>
          <w:b/>
          <w:bCs/>
        </w:rPr>
      </w:pPr>
      <w:r w:rsidRPr="00985CA6">
        <w:rPr>
          <w:b/>
          <w:bCs/>
        </w:rPr>
        <w:tab/>
        <w:t>ESS.NSS.H01.BIFRO.A01.B01.C0</w:t>
      </w:r>
      <w:r>
        <w:rPr>
          <w:b/>
          <w:bCs/>
        </w:rPr>
        <w:t>3</w:t>
      </w:r>
      <w:r w:rsidRPr="00985CA6">
        <w:rPr>
          <w:b/>
          <w:bCs/>
        </w:rPr>
        <w:t xml:space="preserve"> – Beam monitor M</w:t>
      </w:r>
      <w:r>
        <w:rPr>
          <w:b/>
          <w:bCs/>
        </w:rPr>
        <w:t>3</w:t>
      </w:r>
      <w:r w:rsidRPr="00985CA6">
        <w:rPr>
          <w:b/>
          <w:bCs/>
        </w:rPr>
        <w:t xml:space="preserve"> DAQ system</w:t>
      </w:r>
    </w:p>
    <w:p w14:paraId="61BAB709" w14:textId="74141520" w:rsidR="00445137" w:rsidRPr="00156475" w:rsidRDefault="00C16029" w:rsidP="00075D4B">
      <w:pPr>
        <w:rPr>
          <w:rFonts w:cs="Segoe UI Historic"/>
        </w:rPr>
      </w:pPr>
      <w:r w:rsidRPr="00156475">
        <w:rPr>
          <w:rFonts w:cs="Segoe UI Historic"/>
        </w:rPr>
        <w:t xml:space="preserve">The BWC consists of two axis, each having a disc with a </w:t>
      </w:r>
      <w:r w:rsidR="00156475" w:rsidRPr="00156475">
        <w:rPr>
          <w:rFonts w:cs="Segoe UI Historic"/>
        </w:rPr>
        <w:t>161-degree</w:t>
      </w:r>
      <w:r w:rsidRPr="00156475">
        <w:rPr>
          <w:rFonts w:cs="Segoe UI Historic"/>
        </w:rPr>
        <w:t xml:space="preserve"> opening. In standard operation mode, these choppers will spin in counterrotating mode to minimize sweep time. In special cases, where the bandwidth needs to be reduced, the two discs will be set to co-rotate, allowing a phase adjusted effective opening angle. </w:t>
      </w:r>
      <w:r w:rsidR="009B498E" w:rsidRPr="00156475">
        <w:rPr>
          <w:rFonts w:cs="Segoe UI Historic"/>
        </w:rPr>
        <w:t>Behind the BWC, there is an additional ionization beam monitor</w:t>
      </w:r>
      <w:r w:rsidRPr="00156475">
        <w:rPr>
          <w:rFonts w:cs="Segoe UI Historic"/>
        </w:rPr>
        <w:t xml:space="preserve"> referred to as M3. We will use M3 to commission the BW chopper in a similar fashion as for the PSC, executing the following steps</w:t>
      </w:r>
      <w:r w:rsidR="00445137" w:rsidRPr="00156475">
        <w:rPr>
          <w:rFonts w:cs="Segoe UI Historic"/>
        </w:rPr>
        <w:t>:</w:t>
      </w:r>
    </w:p>
    <w:p w14:paraId="530CCEB4" w14:textId="0CC500A5" w:rsidR="00445137" w:rsidRPr="00156475" w:rsidRDefault="00445137" w:rsidP="00D23FD6">
      <w:pPr>
        <w:pStyle w:val="ListParagraph"/>
        <w:numPr>
          <w:ilvl w:val="0"/>
          <w:numId w:val="25"/>
        </w:numPr>
        <w:rPr>
          <w:rFonts w:cs="Segoe UI Historic"/>
        </w:rPr>
      </w:pPr>
      <w:r w:rsidRPr="00156475">
        <w:rPr>
          <w:rFonts w:cs="Segoe UI Historic"/>
        </w:rPr>
        <w:t xml:space="preserve">For each of the BW discs, slow scan each of them over the guide opening, </w:t>
      </w:r>
      <w:r w:rsidRPr="00156475">
        <w:rPr>
          <w:rFonts w:cs="Segoe UI Historic"/>
          <w:i/>
          <w:iCs/>
        </w:rPr>
        <w:t xml:space="preserve">confirming that the phase where the edge of the chopper disc opening starts overlapping with the guide </w:t>
      </w:r>
      <w:r w:rsidR="003958AA" w:rsidRPr="00156475">
        <w:rPr>
          <w:rFonts w:cs="Segoe UI Historic"/>
          <w:i/>
          <w:iCs/>
        </w:rPr>
        <w:t>centre</w:t>
      </w:r>
      <w:r w:rsidRPr="00156475">
        <w:rPr>
          <w:rFonts w:cs="Segoe UI Historic"/>
          <w:i/>
          <w:iCs/>
        </w:rPr>
        <w:t xml:space="preserve"> is as expected</w:t>
      </w:r>
      <w:r w:rsidRPr="00156475">
        <w:rPr>
          <w:rFonts w:cs="Segoe UI Historic"/>
        </w:rPr>
        <w:t xml:space="preserve"> – via a M3 intensity versus phase plot</w:t>
      </w:r>
    </w:p>
    <w:p w14:paraId="2D62A197" w14:textId="04CD0127" w:rsidR="00445137" w:rsidRPr="00156475" w:rsidRDefault="00445137" w:rsidP="00D23FD6">
      <w:pPr>
        <w:pStyle w:val="ListParagraph"/>
        <w:numPr>
          <w:ilvl w:val="0"/>
          <w:numId w:val="25"/>
        </w:numPr>
        <w:rPr>
          <w:rFonts w:cs="Segoe UI Historic"/>
        </w:rPr>
      </w:pPr>
      <w:r w:rsidRPr="00156475">
        <w:rPr>
          <w:rFonts w:cs="Segoe UI Historic"/>
        </w:rPr>
        <w:t xml:space="preserve">Rotate each disc at 14 Hz – separately, confirming this phase calibration – using an M3 time histogram. Here </w:t>
      </w:r>
      <w:r w:rsidRPr="00156475">
        <w:rPr>
          <w:rFonts w:cs="Segoe UI Historic"/>
          <w:i/>
          <w:iCs/>
        </w:rPr>
        <w:t>the cutoff time should be in line with that expected from the spindle phase and frequency information</w:t>
      </w:r>
      <w:r w:rsidRPr="00156475">
        <w:rPr>
          <w:rFonts w:cs="Segoe UI Historic"/>
        </w:rPr>
        <w:t xml:space="preserve">. </w:t>
      </w:r>
      <w:r w:rsidR="00D71624" w:rsidRPr="00156475">
        <w:rPr>
          <w:rFonts w:cs="Segoe UI Historic"/>
        </w:rPr>
        <w:br/>
      </w:r>
    </w:p>
    <w:p w14:paraId="4932CA5A" w14:textId="5351C1B9" w:rsidR="00445137" w:rsidRPr="00156475" w:rsidRDefault="00445137" w:rsidP="00D23FD6">
      <w:pPr>
        <w:pStyle w:val="ListParagraph"/>
        <w:numPr>
          <w:ilvl w:val="0"/>
          <w:numId w:val="25"/>
        </w:numPr>
        <w:rPr>
          <w:rFonts w:cs="Segoe UI Historic"/>
        </w:rPr>
      </w:pPr>
      <w:r w:rsidRPr="00156475">
        <w:rPr>
          <w:rFonts w:cs="Segoe UI Historic"/>
        </w:rPr>
        <w:t>Spinning both discs at 14 Hz counter-rotating mode,</w:t>
      </w:r>
      <w:r w:rsidRPr="00156475">
        <w:rPr>
          <w:rFonts w:cs="Segoe UI Historic"/>
          <w:i/>
          <w:iCs/>
        </w:rPr>
        <w:t xml:space="preserve"> </w:t>
      </w:r>
      <w:r w:rsidRPr="00156475">
        <w:rPr>
          <w:rFonts w:cs="Segoe UI Historic"/>
        </w:rPr>
        <w:t xml:space="preserve">record a </w:t>
      </w:r>
      <w:r w:rsidR="00156475" w:rsidRPr="00156475">
        <w:rPr>
          <w:rFonts w:cs="Segoe UI Historic"/>
        </w:rPr>
        <w:t>well-defined</w:t>
      </w:r>
      <w:r w:rsidRPr="00156475">
        <w:rPr>
          <w:rFonts w:cs="Segoe UI Historic"/>
        </w:rPr>
        <w:t xml:space="preserve"> peak in a M1 time histogram, and </w:t>
      </w:r>
      <w:r w:rsidRPr="00156475">
        <w:rPr>
          <w:rFonts w:cs="Segoe UI Historic"/>
          <w:i/>
          <w:iCs/>
        </w:rPr>
        <w:t>verify that sweep time and mean v</w:t>
      </w:r>
      <w:r w:rsidRPr="00156475">
        <w:rPr>
          <w:rFonts w:eastAsia="MS Gothic" w:cs="Segoe UI Historic"/>
          <w:i/>
          <w:iCs/>
        </w:rPr>
        <w:t>alue of the BWC broad pulse is as expected</w:t>
      </w:r>
      <w:r w:rsidRPr="00156475">
        <w:rPr>
          <w:rFonts w:eastAsia="MS Gothic" w:cs="Segoe UI Historic"/>
        </w:rPr>
        <w:t xml:space="preserve">. Record 3 histograms pr hour </w:t>
      </w:r>
      <w:r w:rsidR="00156475" w:rsidRPr="00156475">
        <w:rPr>
          <w:rFonts w:eastAsia="MS Gothic" w:cs="Segoe UI Historic"/>
        </w:rPr>
        <w:t>overnight and</w:t>
      </w:r>
      <w:r w:rsidRPr="00156475">
        <w:rPr>
          <w:rFonts w:eastAsia="MS Gothic" w:cs="Segoe UI Historic"/>
        </w:rPr>
        <w:t xml:space="preserve"> </w:t>
      </w:r>
      <w:r w:rsidRPr="00156475">
        <w:rPr>
          <w:rFonts w:eastAsia="MS Gothic" w:cs="Segoe UI Historic"/>
          <w:i/>
          <w:iCs/>
        </w:rPr>
        <w:t>verify that the peak is stable on that timescale</w:t>
      </w:r>
      <w:r w:rsidRPr="00156475">
        <w:rPr>
          <w:rFonts w:eastAsia="MS Gothic" w:cs="Segoe UI Historic"/>
        </w:rPr>
        <w:t xml:space="preserve"> – the time histograms should overlap after being normalized with respect to </w:t>
      </w:r>
      <w:r w:rsidR="003958AA" w:rsidRPr="00156475">
        <w:rPr>
          <w:rFonts w:eastAsia="MS Gothic" w:cs="Segoe UI Historic"/>
        </w:rPr>
        <w:t>each other</w:t>
      </w:r>
      <w:r w:rsidRPr="00156475">
        <w:rPr>
          <w:rFonts w:eastAsia="MS Gothic" w:cs="Segoe UI Historic"/>
        </w:rPr>
        <w:t xml:space="preserve">. </w:t>
      </w:r>
      <w:r w:rsidR="00D71624" w:rsidRPr="00156475">
        <w:rPr>
          <w:rFonts w:eastAsia="MS Gothic" w:cs="Segoe UI Historic"/>
        </w:rPr>
        <w:br/>
      </w:r>
    </w:p>
    <w:p w14:paraId="718ED510" w14:textId="73CA4959" w:rsidR="00445137" w:rsidRPr="00156475" w:rsidRDefault="00445137" w:rsidP="00D23FD6">
      <w:pPr>
        <w:pStyle w:val="ListParagraph"/>
        <w:numPr>
          <w:ilvl w:val="0"/>
          <w:numId w:val="25"/>
        </w:numPr>
        <w:rPr>
          <w:rFonts w:cs="Segoe UI Historic"/>
        </w:rPr>
      </w:pPr>
      <w:r w:rsidRPr="00156475">
        <w:rPr>
          <w:rFonts w:eastAsia="MS Gothic" w:cs="Segoe UI Historic"/>
        </w:rPr>
        <w:t xml:space="preserve">Repeat the step above for the co-rotating mode, choosing an effective opening of 80.5 degrees. </w:t>
      </w:r>
    </w:p>
    <w:p w14:paraId="710B556E" w14:textId="77777777" w:rsidR="00D71624" w:rsidRPr="00156475" w:rsidRDefault="00D71624" w:rsidP="00D71624">
      <w:pPr>
        <w:pStyle w:val="ListParagraph"/>
        <w:rPr>
          <w:rFonts w:cs="Segoe UI Historic"/>
        </w:rPr>
      </w:pPr>
    </w:p>
    <w:p w14:paraId="6BCC3EC7" w14:textId="7882643F" w:rsidR="00C16029" w:rsidRPr="00156475" w:rsidRDefault="00445137" w:rsidP="00075D4B">
      <w:pPr>
        <w:pStyle w:val="ListParagraph"/>
        <w:numPr>
          <w:ilvl w:val="0"/>
          <w:numId w:val="25"/>
        </w:numPr>
        <w:rPr>
          <w:rFonts w:cs="Segoe UI Historic"/>
        </w:rPr>
      </w:pPr>
      <w:r w:rsidRPr="00156475">
        <w:rPr>
          <w:rFonts w:eastAsia="MS Gothic" w:cs="Segoe UI Historic"/>
        </w:rPr>
        <w:t>Using a PSC opening time of 0.1 ms, the pulse reaching the BWC would be only negligibly longer</w:t>
      </w:r>
      <w:r w:rsidR="00F873F4" w:rsidRPr="00156475">
        <w:rPr>
          <w:rFonts w:eastAsia="MS Gothic" w:cs="Segoe UI Historic"/>
        </w:rPr>
        <w:t xml:space="preserve"> than the BW opening time. Scan the overall phase of the BW to </w:t>
      </w:r>
      <w:r w:rsidR="00F873F4" w:rsidRPr="00156475">
        <w:rPr>
          <w:rFonts w:eastAsia="MS Gothic" w:cs="Segoe UI Historic"/>
          <w:i/>
          <w:iCs/>
        </w:rPr>
        <w:t>verify the edges of the incident pulse, using a M3 intensity versus phase plot</w:t>
      </w:r>
      <w:r w:rsidR="00F873F4" w:rsidRPr="00156475">
        <w:rPr>
          <w:rFonts w:eastAsia="MS Gothic" w:cs="Segoe UI Historic"/>
        </w:rPr>
        <w:t>. This serves to verify the internal consistency of the chopper system as a whole</w:t>
      </w:r>
      <w:r w:rsidR="00F10096" w:rsidRPr="00156475">
        <w:rPr>
          <w:rFonts w:eastAsia="MS Gothic" w:cs="Segoe UI Historic"/>
        </w:rPr>
        <w:t xml:space="preserve"> – and to verify time-of-flight</w:t>
      </w:r>
    </w:p>
    <w:p w14:paraId="55FF7DEC" w14:textId="6854AE41" w:rsidR="00075D4B" w:rsidRDefault="00156475" w:rsidP="00156475">
      <w:pPr>
        <w:pStyle w:val="Heading3"/>
      </w:pPr>
      <w:r>
        <w:lastRenderedPageBreak/>
        <w:t xml:space="preserve"> </w:t>
      </w:r>
      <w:bookmarkStart w:id="41" w:name="_Toc199928640"/>
      <w:r w:rsidR="00075D4B" w:rsidRPr="00156475">
        <w:t>Sample</w:t>
      </w:r>
      <w:r w:rsidR="00075D4B">
        <w:t xml:space="preserve"> spectrum, GEM beam monitor (M4)</w:t>
      </w:r>
      <w:r w:rsidR="003B200C">
        <w:t xml:space="preserve"> (</w:t>
      </w:r>
      <w:r w:rsidR="008E5B66">
        <w:t>1</w:t>
      </w:r>
      <w:r w:rsidR="003B200C">
        <w:t xml:space="preserve"> days)</w:t>
      </w:r>
      <w:r w:rsidR="00DB4892">
        <w:t xml:space="preserve"> – H</w:t>
      </w:r>
      <w:r w:rsidR="002B5E45">
        <w:t>igh level requirements 3 and 5</w:t>
      </w:r>
      <w:bookmarkEnd w:id="41"/>
      <w:r w:rsidR="002B5E45">
        <w:t xml:space="preserve"> </w:t>
      </w:r>
    </w:p>
    <w:p w14:paraId="7679A5B5" w14:textId="4E665B2B" w:rsidR="00D35578" w:rsidRPr="00985CA6" w:rsidRDefault="00D35578" w:rsidP="00D35578">
      <w:pPr>
        <w:pBdr>
          <w:top w:val="single" w:sz="4" w:space="1" w:color="auto"/>
          <w:left w:val="single" w:sz="4" w:space="4" w:color="auto"/>
          <w:bottom w:val="single" w:sz="4" w:space="1" w:color="auto"/>
          <w:right w:val="single" w:sz="4" w:space="4" w:color="auto"/>
        </w:pBdr>
        <w:rPr>
          <w:b/>
          <w:bCs/>
        </w:rPr>
      </w:pPr>
      <w:r>
        <w:rPr>
          <w:b/>
          <w:bCs/>
        </w:rPr>
        <w:t>FBS:</w:t>
      </w:r>
      <w:r>
        <w:rPr>
          <w:b/>
          <w:bCs/>
        </w:rPr>
        <w:tab/>
      </w:r>
      <w:r w:rsidRPr="00985CA6">
        <w:rPr>
          <w:b/>
          <w:bCs/>
        </w:rPr>
        <w:t>ESS.NSS.H01.BIFRO.A01.B01.B0</w:t>
      </w:r>
      <w:r>
        <w:rPr>
          <w:b/>
          <w:bCs/>
        </w:rPr>
        <w:t>3</w:t>
      </w:r>
      <w:r w:rsidRPr="00985CA6">
        <w:rPr>
          <w:b/>
          <w:bCs/>
        </w:rPr>
        <w:t xml:space="preserve"> – Beam monitor M</w:t>
      </w:r>
      <w:r w:rsidR="00DE377A">
        <w:rPr>
          <w:b/>
          <w:bCs/>
        </w:rPr>
        <w:t>4</w:t>
      </w:r>
    </w:p>
    <w:p w14:paraId="4F8CB307" w14:textId="6C7471C2" w:rsidR="00DB4892" w:rsidRPr="00D35578" w:rsidRDefault="00D35578" w:rsidP="00D35578">
      <w:pPr>
        <w:pBdr>
          <w:top w:val="single" w:sz="4" w:space="1" w:color="auto"/>
          <w:left w:val="single" w:sz="4" w:space="4" w:color="auto"/>
          <w:bottom w:val="single" w:sz="4" w:space="1" w:color="auto"/>
          <w:right w:val="single" w:sz="4" w:space="4" w:color="auto"/>
        </w:pBdr>
        <w:rPr>
          <w:b/>
          <w:bCs/>
        </w:rPr>
      </w:pPr>
      <w:r w:rsidRPr="00985CA6">
        <w:rPr>
          <w:b/>
          <w:bCs/>
        </w:rPr>
        <w:tab/>
        <w:t>ESS.NSS.H01.BIFRO.A01.B01.C0</w:t>
      </w:r>
      <w:r>
        <w:rPr>
          <w:b/>
          <w:bCs/>
        </w:rPr>
        <w:t>3</w:t>
      </w:r>
      <w:r w:rsidRPr="00985CA6">
        <w:rPr>
          <w:b/>
          <w:bCs/>
        </w:rPr>
        <w:t xml:space="preserve"> – Beam monitor M</w:t>
      </w:r>
      <w:r w:rsidR="00DE377A">
        <w:rPr>
          <w:b/>
          <w:bCs/>
        </w:rPr>
        <w:t>4</w:t>
      </w:r>
      <w:r w:rsidRPr="00985CA6">
        <w:rPr>
          <w:b/>
          <w:bCs/>
        </w:rPr>
        <w:t xml:space="preserve"> DAQ system</w:t>
      </w:r>
    </w:p>
    <w:p w14:paraId="4997575D" w14:textId="77777777" w:rsidR="00D35578" w:rsidRPr="00D35578" w:rsidRDefault="00D35578" w:rsidP="00D35578"/>
    <w:p w14:paraId="26D22E76" w14:textId="4BC9D118" w:rsidR="00F873F4" w:rsidRDefault="00F734EB" w:rsidP="00F873F4">
      <w:r>
        <w:t xml:space="preserve">The GEM/CASCADE beam monitor is a fairly complicated detector. It has two conversion layers, a high efficiency and a low efficiency one, to allow for high statistics intensity histograms with fine time-binning to be recorded at high and low incident fluxes respectively. </w:t>
      </w:r>
    </w:p>
    <w:p w14:paraId="2C78244E" w14:textId="77777777" w:rsidR="00E76D02" w:rsidRDefault="00F734EB" w:rsidP="00F873F4">
      <w:r>
        <w:t xml:space="preserve">It has the capability to have 2D sensitivity across a 32 x 32 mm area, with 32 x 32 pixels, with a 1 MHz count rate capability. It </w:t>
      </w:r>
      <w:r w:rsidR="004A51BA">
        <w:t>c</w:t>
      </w:r>
      <w:r>
        <w:t xml:space="preserve">an be operated in 0D mode, allowing for count rates up to 5 MHz. As a normalization monitor, we predominantly will use the 0D mode to decrease detector dead time. </w:t>
      </w:r>
    </w:p>
    <w:p w14:paraId="50B88365" w14:textId="752A91A7" w:rsidR="00F734EB" w:rsidRDefault="00F734EB" w:rsidP="00F873F4">
      <w:r w:rsidRPr="00E76D02">
        <w:rPr>
          <w:i/>
          <w:iCs/>
        </w:rPr>
        <w:t>For hot commissioning, we would often use the 2D mode, effectively using the monitor as a neutron camera</w:t>
      </w:r>
      <w:r>
        <w:t xml:space="preserve">. </w:t>
      </w:r>
    </w:p>
    <w:p w14:paraId="5C2F2A74" w14:textId="7D614580" w:rsidR="00F734EB" w:rsidRDefault="004A51BA" w:rsidP="00F873F4">
      <w:r>
        <w:t xml:space="preserve">For recording the spectrum at the sample, the GEM monitor is operated in 0D mode. A simulation of the monitor response for 3 consecutive pulses is shown in </w:t>
      </w:r>
      <w:r>
        <w:fldChar w:fldCharType="begin"/>
      </w:r>
      <w:r>
        <w:instrText xml:space="preserve"> REF _Ref196462496 \h </w:instrText>
      </w:r>
      <w:r>
        <w:fldChar w:fldCharType="separate"/>
      </w:r>
      <w:r w:rsidR="00F23D1E">
        <w:t xml:space="preserve">Figure </w:t>
      </w:r>
      <w:r w:rsidR="00F23D1E">
        <w:rPr>
          <w:noProof/>
        </w:rPr>
        <w:t>4</w:t>
      </w:r>
      <w:r>
        <w:fldChar w:fldCharType="end"/>
      </w:r>
      <w:r>
        <w:t xml:space="preserve">. </w:t>
      </w:r>
    </w:p>
    <w:p w14:paraId="0B664B88" w14:textId="77777777" w:rsidR="004A51BA" w:rsidRDefault="004A51BA" w:rsidP="00382F51">
      <w:pPr>
        <w:keepNext/>
        <w:jc w:val="center"/>
      </w:pPr>
      <w:r>
        <w:rPr>
          <w:noProof/>
        </w:rPr>
        <w:drawing>
          <wp:inline distT="0" distB="0" distL="0" distR="0" wp14:anchorId="5E7D4213" wp14:editId="2E2C306E">
            <wp:extent cx="4470849" cy="2568222"/>
            <wp:effectExtent l="0" t="0" r="6350" b="3810"/>
            <wp:docPr id="5926302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80886" cy="2573988"/>
                    </a:xfrm>
                    <a:prstGeom prst="rect">
                      <a:avLst/>
                    </a:prstGeom>
                    <a:noFill/>
                    <a:ln>
                      <a:noFill/>
                    </a:ln>
                  </pic:spPr>
                </pic:pic>
              </a:graphicData>
            </a:graphic>
          </wp:inline>
        </w:drawing>
      </w:r>
    </w:p>
    <w:p w14:paraId="559CE2E5" w14:textId="6DEDAFD8" w:rsidR="004A51BA" w:rsidRDefault="004A51BA" w:rsidP="00382F51">
      <w:pPr>
        <w:pStyle w:val="TableFigureTitle"/>
      </w:pPr>
      <w:bookmarkStart w:id="42" w:name="_Ref196462496"/>
      <w:bookmarkStart w:id="43" w:name="_Toc199928248"/>
      <w:r>
        <w:t xml:space="preserve">Figure </w:t>
      </w:r>
      <w:r>
        <w:fldChar w:fldCharType="begin"/>
      </w:r>
      <w:r>
        <w:instrText xml:space="preserve"> SEQ Figure \* ARABIC </w:instrText>
      </w:r>
      <w:r>
        <w:fldChar w:fldCharType="separate"/>
      </w:r>
      <w:r w:rsidR="001621CA">
        <w:rPr>
          <w:noProof/>
        </w:rPr>
        <w:t>4</w:t>
      </w:r>
      <w:r>
        <w:fldChar w:fldCharType="end"/>
      </w:r>
      <w:bookmarkEnd w:id="42"/>
      <w:r w:rsidR="00382F51">
        <w:t xml:space="preserve"> -</w:t>
      </w:r>
      <w:r>
        <w:t xml:space="preserve"> Pseudo-continuous beam at BIFROST using a fully open PSC</w:t>
      </w:r>
      <w:bookmarkEnd w:id="43"/>
    </w:p>
    <w:p w14:paraId="1435DEF6" w14:textId="4200BDFA" w:rsidR="004A51BA" w:rsidRPr="00382F51" w:rsidRDefault="004A51BA" w:rsidP="004A51BA">
      <w:pPr>
        <w:rPr>
          <w:rFonts w:cs="Segoe UI Historic"/>
        </w:rPr>
      </w:pPr>
      <w:r w:rsidRPr="00382F51">
        <w:rPr>
          <w:rFonts w:cs="Segoe UI Historic"/>
        </w:rPr>
        <w:t xml:space="preserve">The characterization of the incident beam </w:t>
      </w:r>
      <w:r w:rsidR="00CA2AEA" w:rsidRPr="00382F51">
        <w:rPr>
          <w:rFonts w:cs="Segoe UI Historic"/>
        </w:rPr>
        <w:t>would be as follows:</w:t>
      </w:r>
    </w:p>
    <w:p w14:paraId="52E3D72A" w14:textId="60BAF261" w:rsidR="00CA2AEA" w:rsidRPr="00382F51" w:rsidRDefault="00CA2AEA" w:rsidP="00D23FD6">
      <w:pPr>
        <w:pStyle w:val="ListParagraph"/>
        <w:numPr>
          <w:ilvl w:val="0"/>
          <w:numId w:val="28"/>
        </w:numPr>
        <w:rPr>
          <w:rFonts w:cs="Segoe UI Historic"/>
        </w:rPr>
      </w:pPr>
      <w:r w:rsidRPr="00382F51">
        <w:rPr>
          <w:rFonts w:cs="Segoe UI Historic"/>
        </w:rPr>
        <w:t xml:space="preserve">Measure the monitor spectrum using a 2.3-4.04 Å wavelength band, and </w:t>
      </w:r>
      <w:r w:rsidRPr="00382F51">
        <w:rPr>
          <w:rFonts w:cs="Segoe UI Historic"/>
          <w:i/>
          <w:iCs/>
        </w:rPr>
        <w:t>verify th</w:t>
      </w:r>
      <w:r w:rsidR="00DA7523" w:rsidRPr="00382F51">
        <w:rPr>
          <w:rFonts w:cs="Segoe UI Historic"/>
          <w:i/>
          <w:iCs/>
        </w:rPr>
        <w:t>e</w:t>
      </w:r>
      <w:r w:rsidRPr="00382F51">
        <w:rPr>
          <w:rFonts w:cs="Segoe UI Historic"/>
          <w:i/>
          <w:iCs/>
        </w:rPr>
        <w:t xml:space="preserve"> time interval of 0 intensity that occurs between pulses, is as expected from the chopper system phasing</w:t>
      </w:r>
      <w:r w:rsidR="00B65533" w:rsidRPr="00382F51">
        <w:rPr>
          <w:rFonts w:cs="Segoe UI Historic"/>
        </w:rPr>
        <w:br/>
      </w:r>
    </w:p>
    <w:p w14:paraId="5B2684E6" w14:textId="3083109B" w:rsidR="00CA2AEA" w:rsidRPr="00382F51" w:rsidRDefault="00CA2AEA" w:rsidP="00D23FD6">
      <w:pPr>
        <w:pStyle w:val="ListParagraph"/>
        <w:numPr>
          <w:ilvl w:val="0"/>
          <w:numId w:val="28"/>
        </w:numPr>
        <w:rPr>
          <w:rFonts w:cs="Segoe UI Historic"/>
        </w:rPr>
      </w:pPr>
      <w:r w:rsidRPr="00382F51">
        <w:rPr>
          <w:rFonts w:cs="Segoe UI Historic"/>
        </w:rPr>
        <w:t xml:space="preserve">Record a </w:t>
      </w:r>
      <w:r w:rsidR="003D2895" w:rsidRPr="00382F51">
        <w:rPr>
          <w:rFonts w:cs="Segoe UI Historic"/>
        </w:rPr>
        <w:t>high statistic</w:t>
      </w:r>
      <w:r w:rsidRPr="00382F51">
        <w:rPr>
          <w:rFonts w:cs="Segoe UI Historic"/>
        </w:rPr>
        <w:t xml:space="preserve"> monitors spectrum, for</w:t>
      </w:r>
      <w:r w:rsidR="00B65533" w:rsidRPr="00382F51">
        <w:rPr>
          <w:rFonts w:cs="Segoe UI Historic"/>
        </w:rPr>
        <w:t xml:space="preserve"> 20 chopper system phase settings varying from a band center wavelength of 1.5 Å to 5.5 Å. </w:t>
      </w:r>
      <w:r w:rsidR="00D71624" w:rsidRPr="00382F51">
        <w:rPr>
          <w:rFonts w:cs="Segoe UI Historic"/>
        </w:rPr>
        <w:t>This serves as a reference.</w:t>
      </w:r>
      <w:r w:rsidR="00B65533" w:rsidRPr="00382F51">
        <w:rPr>
          <w:rFonts w:cs="Segoe UI Historic"/>
        </w:rPr>
        <w:br/>
      </w:r>
    </w:p>
    <w:p w14:paraId="280D9902" w14:textId="162C6B5B" w:rsidR="00B65533" w:rsidRPr="00382F51" w:rsidRDefault="00B65533" w:rsidP="00D23FD6">
      <w:pPr>
        <w:pStyle w:val="ListParagraph"/>
        <w:numPr>
          <w:ilvl w:val="0"/>
          <w:numId w:val="28"/>
        </w:numPr>
        <w:rPr>
          <w:rFonts w:cs="Segoe UI Historic"/>
          <w:i/>
          <w:iCs/>
        </w:rPr>
      </w:pPr>
      <w:r w:rsidRPr="00382F51">
        <w:rPr>
          <w:rFonts w:cs="Segoe UI Historic"/>
        </w:rPr>
        <w:t>Analysis: normalize for 1/</w:t>
      </w:r>
      <w:r w:rsidRPr="00382F51">
        <w:rPr>
          <w:rFonts w:ascii="Calibri" w:hAnsi="Calibri" w:cs="Calibri"/>
        </w:rPr>
        <w:t>λ</w:t>
      </w:r>
      <w:r w:rsidRPr="00382F51">
        <w:rPr>
          <w:rFonts w:cs="Segoe UI Historic"/>
        </w:rPr>
        <w:t xml:space="preserve">and </w:t>
      </w:r>
      <w:r w:rsidRPr="00382F51">
        <w:rPr>
          <w:rFonts w:cs="Segoe UI Historic"/>
          <w:i/>
          <w:iCs/>
        </w:rPr>
        <w:t xml:space="preserve">identify </w:t>
      </w:r>
      <w:r w:rsidR="003D2895" w:rsidRPr="00382F51">
        <w:rPr>
          <w:rFonts w:cs="Segoe UI Historic"/>
          <w:i/>
          <w:iCs/>
        </w:rPr>
        <w:t>aluminium</w:t>
      </w:r>
      <w:r w:rsidRPr="00382F51">
        <w:rPr>
          <w:rFonts w:cs="Segoe UI Historic"/>
          <w:i/>
          <w:iCs/>
        </w:rPr>
        <w:t xml:space="preserve"> Bragg edges for initial flight path </w:t>
      </w:r>
      <w:r w:rsidR="00D71624" w:rsidRPr="00382F51">
        <w:rPr>
          <w:rFonts w:cs="Segoe UI Historic"/>
          <w:i/>
          <w:iCs/>
        </w:rPr>
        <w:t>verification.</w:t>
      </w:r>
      <w:r w:rsidR="00E76D02" w:rsidRPr="00382F51">
        <w:rPr>
          <w:rFonts w:cs="Segoe UI Historic"/>
          <w:i/>
          <w:iCs/>
        </w:rPr>
        <w:br/>
      </w:r>
    </w:p>
    <w:p w14:paraId="268E602A" w14:textId="64B1C1D0" w:rsidR="00B65533" w:rsidRPr="00382F51" w:rsidRDefault="00E76D02" w:rsidP="00B65533">
      <w:pPr>
        <w:pStyle w:val="ListParagraph"/>
        <w:numPr>
          <w:ilvl w:val="0"/>
          <w:numId w:val="28"/>
        </w:numPr>
        <w:rPr>
          <w:rFonts w:cs="Segoe UI Historic"/>
          <w:i/>
          <w:iCs/>
        </w:rPr>
      </w:pPr>
      <w:r w:rsidRPr="00382F51">
        <w:rPr>
          <w:rFonts w:cs="Segoe UI Historic"/>
          <w:i/>
          <w:iCs/>
        </w:rPr>
        <w:t xml:space="preserve">Perform the same measurements in 2D </w:t>
      </w:r>
      <w:r w:rsidR="003D2895" w:rsidRPr="00382F51">
        <w:rPr>
          <w:rFonts w:cs="Segoe UI Historic"/>
          <w:i/>
          <w:iCs/>
        </w:rPr>
        <w:t>mode and</w:t>
      </w:r>
      <w:r w:rsidRPr="00382F51">
        <w:rPr>
          <w:rFonts w:cs="Segoe UI Historic"/>
          <w:i/>
          <w:iCs/>
        </w:rPr>
        <w:t xml:space="preserve"> characterize the wavelength dependence of the beam spot size. </w:t>
      </w:r>
    </w:p>
    <w:p w14:paraId="03144A94" w14:textId="3E34D8FD" w:rsidR="00946D47" w:rsidRDefault="00382F51" w:rsidP="00382F51">
      <w:pPr>
        <w:pStyle w:val="Heading3"/>
      </w:pPr>
      <w:r>
        <w:lastRenderedPageBreak/>
        <w:t xml:space="preserve"> </w:t>
      </w:r>
      <w:bookmarkStart w:id="44" w:name="_Toc199928641"/>
      <w:r w:rsidR="009B498E">
        <w:t>Primary f</w:t>
      </w:r>
      <w:r w:rsidR="00946D47">
        <w:t xml:space="preserve">light </w:t>
      </w:r>
      <w:r w:rsidR="00946D47" w:rsidRPr="00382F51">
        <w:t>path</w:t>
      </w:r>
      <w:r w:rsidR="00946D47">
        <w:t xml:space="preserve"> calibration, GEM beam monitor (M4)</w:t>
      </w:r>
      <w:r w:rsidR="003B200C">
        <w:t xml:space="preserve"> (</w:t>
      </w:r>
      <w:r w:rsidR="008E5B66">
        <w:t>1</w:t>
      </w:r>
      <w:r w:rsidR="003B200C">
        <w:t xml:space="preserve"> day)</w:t>
      </w:r>
      <w:bookmarkEnd w:id="44"/>
    </w:p>
    <w:p w14:paraId="4699C5A3" w14:textId="55FF8109" w:rsidR="00F26A91" w:rsidRPr="00F26A91" w:rsidRDefault="00F26A91" w:rsidP="00F26A91">
      <w:r>
        <w:t>In calibrating the primary flight path, we use a standard powder of iron or Al</w:t>
      </w:r>
      <w:r w:rsidRPr="00F26A91">
        <w:rPr>
          <w:vertAlign w:val="subscript"/>
        </w:rPr>
        <w:t>2</w:t>
      </w:r>
      <w:r>
        <w:t>O</w:t>
      </w:r>
      <w:r w:rsidRPr="00F26A91">
        <w:rPr>
          <w:vertAlign w:val="subscript"/>
        </w:rPr>
        <w:t>3</w:t>
      </w:r>
      <w:r>
        <w:t xml:space="preserve">, mounted in a standard container placed right after the guide, as shown </w:t>
      </w:r>
      <w:r w:rsidR="00F23D1E">
        <w:t>i</w:t>
      </w:r>
      <w:r>
        <w:t xml:space="preserve">n </w:t>
      </w:r>
      <w:r>
        <w:fldChar w:fldCharType="begin"/>
      </w:r>
      <w:r>
        <w:instrText xml:space="preserve"> REF _Ref196471789 \h </w:instrText>
      </w:r>
      <w:r>
        <w:fldChar w:fldCharType="separate"/>
      </w:r>
      <w:r w:rsidR="00F23D1E">
        <w:t xml:space="preserve">Figure </w:t>
      </w:r>
      <w:r w:rsidR="00F23D1E">
        <w:rPr>
          <w:noProof/>
        </w:rPr>
        <w:t>5</w:t>
      </w:r>
      <w:r>
        <w:fldChar w:fldCharType="end"/>
      </w:r>
      <w:r>
        <w:t xml:space="preserve">.   </w:t>
      </w:r>
    </w:p>
    <w:p w14:paraId="61D471BD" w14:textId="77777777" w:rsidR="00F26A91" w:rsidRDefault="00453ACB" w:rsidP="006D6B12">
      <w:pPr>
        <w:keepNext/>
        <w:jc w:val="center"/>
      </w:pPr>
      <w:r>
        <w:rPr>
          <w:noProof/>
        </w:rPr>
        <w:drawing>
          <wp:inline distT="0" distB="0" distL="0" distR="0" wp14:anchorId="1AFC28D6" wp14:editId="2DF7A08A">
            <wp:extent cx="4494382" cy="3614232"/>
            <wp:effectExtent l="0" t="0" r="1905" b="5715"/>
            <wp:docPr id="1843549738"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49738" name="Picture 2" descr="A screenshot of a computer screen&#10;&#10;AI-generated content may be incorrect."/>
                    <pic:cNvPicPr/>
                  </pic:nvPicPr>
                  <pic:blipFill>
                    <a:blip r:embed="rId26"/>
                    <a:stretch>
                      <a:fillRect/>
                    </a:stretch>
                  </pic:blipFill>
                  <pic:spPr>
                    <a:xfrm>
                      <a:off x="0" y="0"/>
                      <a:ext cx="4494382" cy="3614232"/>
                    </a:xfrm>
                    <a:prstGeom prst="rect">
                      <a:avLst/>
                    </a:prstGeom>
                  </pic:spPr>
                </pic:pic>
              </a:graphicData>
            </a:graphic>
          </wp:inline>
        </w:drawing>
      </w:r>
    </w:p>
    <w:p w14:paraId="5356C45A" w14:textId="7C8C81AA" w:rsidR="00453ACB" w:rsidRDefault="00F26A91" w:rsidP="00382F51">
      <w:pPr>
        <w:pStyle w:val="TableFigureTitle"/>
      </w:pPr>
      <w:bookmarkStart w:id="45" w:name="_Ref196471789"/>
      <w:bookmarkStart w:id="46" w:name="_Toc199928249"/>
      <w:r>
        <w:t xml:space="preserve">Figure </w:t>
      </w:r>
      <w:r>
        <w:fldChar w:fldCharType="begin"/>
      </w:r>
      <w:r>
        <w:instrText xml:space="preserve"> SEQ Figure \* ARABIC </w:instrText>
      </w:r>
      <w:r>
        <w:fldChar w:fldCharType="separate"/>
      </w:r>
      <w:r w:rsidR="001621CA">
        <w:rPr>
          <w:noProof/>
        </w:rPr>
        <w:t>5</w:t>
      </w:r>
      <w:r>
        <w:fldChar w:fldCharType="end"/>
      </w:r>
      <w:bookmarkEnd w:id="45"/>
      <w:r w:rsidR="00382F51">
        <w:t xml:space="preserve"> -</w:t>
      </w:r>
      <w:r>
        <w:t xml:space="preserve"> (Top left) Bragg edges of pure aluminum. (Top right) setup for primary flight path calibration. (Bottom) Simul</w:t>
      </w:r>
      <w:r w:rsidR="00F25C33">
        <w:t>a</w:t>
      </w:r>
      <w:r>
        <w:t>ted Bragg edges</w:t>
      </w:r>
      <w:r w:rsidR="00F25C33">
        <w:t xml:space="preserve"> in the monitor spectrum</w:t>
      </w:r>
      <w:r>
        <w:t xml:space="preserve"> from the aluminum windows in the guide</w:t>
      </w:r>
      <w:bookmarkEnd w:id="46"/>
    </w:p>
    <w:p w14:paraId="73CF602E" w14:textId="2109FACB" w:rsidR="0065759E" w:rsidRDefault="00F26A91" w:rsidP="0065759E">
      <w:r>
        <w:t xml:space="preserve">Using a PSC opening time of 0.1 ms, we would </w:t>
      </w:r>
      <w:r w:rsidR="00570F55">
        <w:t>observe</w:t>
      </w:r>
      <w:r>
        <w:t xml:space="preserve"> a set of Bragg edges with a fitted uncertainty below that – less than 100 us. Knowing the flight time and the wavelength, </w:t>
      </w:r>
      <w:r w:rsidRPr="00D71624">
        <w:rPr>
          <w:i/>
          <w:iCs/>
        </w:rPr>
        <w:t>the flight path</w:t>
      </w:r>
      <w:r w:rsidR="00800AFA" w:rsidRPr="00D71624">
        <w:rPr>
          <w:i/>
          <w:iCs/>
        </w:rPr>
        <w:t xml:space="preserve"> between PSC and sample position</w:t>
      </w:r>
      <w:r w:rsidRPr="00D71624">
        <w:rPr>
          <w:i/>
          <w:iCs/>
        </w:rPr>
        <w:t xml:space="preserve"> can be fitted from the o</w:t>
      </w:r>
      <w:r w:rsidR="000C0767" w:rsidRPr="00D71624">
        <w:rPr>
          <w:i/>
          <w:iCs/>
        </w:rPr>
        <w:t>b</w:t>
      </w:r>
      <w:r w:rsidRPr="00D71624">
        <w:rPr>
          <w:i/>
          <w:iCs/>
        </w:rPr>
        <w:t>served edges</w:t>
      </w:r>
      <w:r>
        <w:t>. The detector depth is of the order of 10 mm, which would be the minimum uncertainty of the flight path calibration</w:t>
      </w:r>
      <w:bookmarkStart w:id="47" w:name="_Ref196833945"/>
      <w:r w:rsidR="00D71CA5">
        <w:t>.</w:t>
      </w:r>
    </w:p>
    <w:p w14:paraId="09A9DCBA" w14:textId="77777777" w:rsidR="0065759E" w:rsidRDefault="0065759E">
      <w:pPr>
        <w:spacing w:after="0"/>
        <w:rPr>
          <w:rFonts w:eastAsiaTheme="majorEastAsia" w:cstheme="majorBidi"/>
          <w:bCs/>
          <w:i/>
        </w:rPr>
      </w:pPr>
      <w:r>
        <w:br w:type="page"/>
      </w:r>
    </w:p>
    <w:p w14:paraId="321B1DFF" w14:textId="54857874" w:rsidR="00946D47" w:rsidRDefault="0065759E" w:rsidP="00570F55">
      <w:pPr>
        <w:pStyle w:val="Heading3"/>
      </w:pPr>
      <w:r>
        <w:lastRenderedPageBreak/>
        <w:t xml:space="preserve"> </w:t>
      </w:r>
      <w:bookmarkStart w:id="48" w:name="_Ref199928415"/>
      <w:bookmarkStart w:id="49" w:name="_Toc199928642"/>
      <w:r w:rsidR="000D20AA">
        <w:t xml:space="preserve">Nice-to-have: </w:t>
      </w:r>
      <w:r w:rsidR="00946D47">
        <w:t>Guide characterization and acceptance diagram measurement, GEM beam monitor (M4)</w:t>
      </w:r>
      <w:bookmarkEnd w:id="47"/>
      <w:r w:rsidR="003B200C">
        <w:t xml:space="preserve"> (</w:t>
      </w:r>
      <w:r w:rsidR="0085358C">
        <w:t>10</w:t>
      </w:r>
      <w:r w:rsidR="003B200C">
        <w:t xml:space="preserve"> days)</w:t>
      </w:r>
      <w:bookmarkEnd w:id="48"/>
      <w:bookmarkEnd w:id="49"/>
    </w:p>
    <w:p w14:paraId="450D8934" w14:textId="7398A1DD" w:rsidR="00EF0248" w:rsidRDefault="00EF0248" w:rsidP="00DC5D91">
      <w:r>
        <w:t xml:space="preserve">In order to characterize the guide, to validate performance and create a benchmark measurement for this performance, we aim to </w:t>
      </w:r>
      <w:r w:rsidR="00570F55">
        <w:t>measure</w:t>
      </w:r>
      <w:r>
        <w:t xml:space="preserve"> the acceptance diagram of the guide, by placing M4 at the sample position, and scanning a spinhole across the guide opening. </w:t>
      </w:r>
    </w:p>
    <w:p w14:paraId="3E6DE6D8" w14:textId="77777777" w:rsidR="00EF0248" w:rsidRDefault="000C0767" w:rsidP="00EF0248">
      <w:pPr>
        <w:keepNext/>
      </w:pPr>
      <w:r>
        <w:rPr>
          <w:noProof/>
        </w:rPr>
        <w:drawing>
          <wp:inline distT="0" distB="0" distL="0" distR="0" wp14:anchorId="3A3EE5D9" wp14:editId="5EFC6676">
            <wp:extent cx="5278916" cy="1752600"/>
            <wp:effectExtent l="0" t="0" r="0" b="0"/>
            <wp:docPr id="915513715" name="Picture 6"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513715" name="Picture 6" descr="A black and white logo&#10;&#10;AI-generated content may be incorrect."/>
                    <pic:cNvPicPr/>
                  </pic:nvPicPr>
                  <pic:blipFill>
                    <a:blip r:embed="rId27"/>
                    <a:stretch>
                      <a:fillRect/>
                    </a:stretch>
                  </pic:blipFill>
                  <pic:spPr>
                    <a:xfrm>
                      <a:off x="0" y="0"/>
                      <a:ext cx="5316344" cy="1765026"/>
                    </a:xfrm>
                    <a:prstGeom prst="rect">
                      <a:avLst/>
                    </a:prstGeom>
                  </pic:spPr>
                </pic:pic>
              </a:graphicData>
            </a:graphic>
          </wp:inline>
        </w:drawing>
      </w:r>
    </w:p>
    <w:p w14:paraId="6C22DA8C" w14:textId="3EC8CE9C" w:rsidR="00EF0248" w:rsidRDefault="00EF0248" w:rsidP="00570F55">
      <w:pPr>
        <w:pStyle w:val="TableFigureTitle"/>
      </w:pPr>
      <w:bookmarkStart w:id="50" w:name="_Toc199928250"/>
      <w:r>
        <w:t xml:space="preserve">Figure </w:t>
      </w:r>
      <w:r>
        <w:fldChar w:fldCharType="begin"/>
      </w:r>
      <w:r>
        <w:instrText xml:space="preserve"> SEQ Figure \* ARABIC </w:instrText>
      </w:r>
      <w:r>
        <w:fldChar w:fldCharType="separate"/>
      </w:r>
      <w:r w:rsidR="001621CA">
        <w:rPr>
          <w:noProof/>
        </w:rPr>
        <w:t>6</w:t>
      </w:r>
      <w:r>
        <w:fldChar w:fldCharType="end"/>
      </w:r>
      <w:r w:rsidR="00570F55">
        <w:t xml:space="preserve"> -</w:t>
      </w:r>
      <w:r>
        <w:t xml:space="preserve"> Proposed setup for measuring the acceptance diagram of the guide</w:t>
      </w:r>
      <w:bookmarkEnd w:id="50"/>
    </w:p>
    <w:p w14:paraId="1F569B1C" w14:textId="09BB290F" w:rsidR="00EF0248" w:rsidRDefault="00EF0248" w:rsidP="00EF0248">
      <w:r>
        <w:t xml:space="preserve">For each pin hole setting, this defines 32 distinct incident wavevector directions that are measured. For each of these, an intensity versus wavelength spectrum is obtained. </w:t>
      </w:r>
    </w:p>
    <w:p w14:paraId="3326DC06" w14:textId="1887CBDA" w:rsidR="00EF0248" w:rsidRDefault="00EF0248" w:rsidP="00EF0248">
      <w:r>
        <w:t xml:space="preserve">This can be used to </w:t>
      </w:r>
      <w:r w:rsidR="00AC75B3">
        <w:t>obtain</w:t>
      </w:r>
      <w:r>
        <w:t xml:space="preserve"> the transmitted phase space of the guide as a function of </w:t>
      </w:r>
      <w:r w:rsidR="003D2895">
        <w:t>wavelength and</w:t>
      </w:r>
      <w:r>
        <w:t xml:space="preserve"> can be directly compared to McStas simulations. </w:t>
      </w:r>
    </w:p>
    <w:p w14:paraId="78466A71" w14:textId="5BB2E889" w:rsidR="00EF0248" w:rsidRDefault="00EF0248" w:rsidP="00EF0248">
      <w:r>
        <w:t xml:space="preserve">In the future, if such a measurement is properly made, it can serve as a benchmark. If guide coating breaks down, or large misalignments happen, we can spot asymmetries or irregularities in the phase space, in addition to a loss of intensity. For a guide 160 meters long, this may be crucial in order to diagnose potential problems. </w:t>
      </w:r>
    </w:p>
    <w:p w14:paraId="3BF8CFF8" w14:textId="70FC7B58" w:rsidR="00800AFA" w:rsidRPr="00D71624" w:rsidRDefault="00800AFA" w:rsidP="00EF0248">
      <w:pPr>
        <w:rPr>
          <w:i/>
          <w:iCs/>
        </w:rPr>
      </w:pPr>
      <w:r w:rsidRPr="00D71624">
        <w:rPr>
          <w:i/>
          <w:iCs/>
        </w:rPr>
        <w:t>Note: The measurement may take a very long time. It is possibl</w:t>
      </w:r>
      <w:r w:rsidR="00D71624">
        <w:rPr>
          <w:i/>
          <w:iCs/>
        </w:rPr>
        <w:t>y</w:t>
      </w:r>
      <w:r w:rsidRPr="00D71624">
        <w:rPr>
          <w:i/>
          <w:iCs/>
        </w:rPr>
        <w:t xml:space="preserve"> best done with an automatised pinhole and a more efficient neutron detector. The measurement is not crucial for science – we de facto have the beam that we have – but it is important to diagnose problems in a guide as long as BIFROSTs.</w:t>
      </w:r>
    </w:p>
    <w:p w14:paraId="0CE07F32" w14:textId="37C42532" w:rsidR="00EF0248" w:rsidRDefault="00AC75B3" w:rsidP="00AC75B3">
      <w:pPr>
        <w:pStyle w:val="Heading3"/>
      </w:pPr>
      <w:r>
        <w:t xml:space="preserve"> </w:t>
      </w:r>
      <w:bookmarkStart w:id="51" w:name="_Toc199928643"/>
      <w:r w:rsidR="00946D47" w:rsidRPr="00AC75B3">
        <w:t>Divergence</w:t>
      </w:r>
      <w:r w:rsidR="00946D47">
        <w:t xml:space="preserve"> jaw characterization, GEM bea</w:t>
      </w:r>
      <w:r w:rsidR="00EF0248">
        <w:t>m</w:t>
      </w:r>
      <w:r w:rsidR="003B200C">
        <w:t xml:space="preserve"> (</w:t>
      </w:r>
      <w:r w:rsidR="008E5B66">
        <w:t>2</w:t>
      </w:r>
      <w:r w:rsidR="003B200C">
        <w:t xml:space="preserve"> days)</w:t>
      </w:r>
      <w:bookmarkEnd w:id="51"/>
    </w:p>
    <w:p w14:paraId="72CA517D" w14:textId="0F12A073" w:rsidR="00DE377A" w:rsidRPr="00951805" w:rsidRDefault="00DE377A" w:rsidP="00DE377A">
      <w:pPr>
        <w:pBdr>
          <w:top w:val="single" w:sz="4" w:space="1" w:color="auto"/>
          <w:left w:val="single" w:sz="4" w:space="4" w:color="auto"/>
          <w:bottom w:val="single" w:sz="4" w:space="1" w:color="auto"/>
          <w:right w:val="single" w:sz="4" w:space="4" w:color="auto"/>
        </w:pBdr>
        <w:rPr>
          <w:b/>
          <w:bCs/>
        </w:rPr>
      </w:pPr>
      <w:r w:rsidRPr="00951805">
        <w:rPr>
          <w:b/>
          <w:bCs/>
        </w:rPr>
        <w:t xml:space="preserve">FBS: </w:t>
      </w:r>
      <w:r w:rsidRPr="00951805">
        <w:rPr>
          <w:b/>
          <w:bCs/>
        </w:rPr>
        <w:tab/>
        <w:t>ESS.NSS.H01.BIFRO.A01.R02.R01.R01 – Divergence Jaw 1</w:t>
      </w:r>
    </w:p>
    <w:p w14:paraId="0E7A3C21" w14:textId="5F0D014E" w:rsidR="00DE377A" w:rsidRPr="00951805" w:rsidRDefault="00DE377A" w:rsidP="00DE377A">
      <w:pPr>
        <w:pBdr>
          <w:top w:val="single" w:sz="4" w:space="1" w:color="auto"/>
          <w:left w:val="single" w:sz="4" w:space="4" w:color="auto"/>
          <w:bottom w:val="single" w:sz="4" w:space="1" w:color="auto"/>
          <w:right w:val="single" w:sz="4" w:space="4" w:color="auto"/>
        </w:pBdr>
        <w:ind w:firstLine="720"/>
        <w:rPr>
          <w:b/>
          <w:bCs/>
        </w:rPr>
      </w:pPr>
      <w:r w:rsidRPr="00951805">
        <w:rPr>
          <w:b/>
          <w:bCs/>
        </w:rPr>
        <w:t>ESS.NSS.H01.BIFRO.A01.R02.R01.R02 – Divergence Jaw 2</w:t>
      </w:r>
    </w:p>
    <w:p w14:paraId="2EE71982" w14:textId="14D93394" w:rsidR="00DE377A" w:rsidRPr="00951805" w:rsidRDefault="00DE377A" w:rsidP="00DE377A">
      <w:pPr>
        <w:pBdr>
          <w:top w:val="single" w:sz="4" w:space="1" w:color="auto"/>
          <w:left w:val="single" w:sz="4" w:space="4" w:color="auto"/>
          <w:bottom w:val="single" w:sz="4" w:space="1" w:color="auto"/>
          <w:right w:val="single" w:sz="4" w:space="4" w:color="auto"/>
        </w:pBdr>
        <w:ind w:firstLine="720"/>
        <w:rPr>
          <w:b/>
          <w:bCs/>
        </w:rPr>
      </w:pPr>
      <w:r w:rsidRPr="00951805">
        <w:rPr>
          <w:b/>
          <w:bCs/>
        </w:rPr>
        <w:t>ESS.NSS.H01.BIFRO.A01.R02.R01.R03 – Divergence Jaw 3</w:t>
      </w:r>
    </w:p>
    <w:p w14:paraId="29BAF8EB" w14:textId="44C0ABFD" w:rsidR="00EF0248" w:rsidRDefault="00800AFA" w:rsidP="00EF0248">
      <w:r>
        <w:t>Using a measurement similar to the one described in section</w:t>
      </w:r>
      <w:r w:rsidR="00F22C3E">
        <w:t xml:space="preserve"> </w:t>
      </w:r>
      <w:r w:rsidR="00F22C3E">
        <w:fldChar w:fldCharType="begin"/>
      </w:r>
      <w:r w:rsidR="00F22C3E">
        <w:instrText xml:space="preserve"> REF _Ref199929009 \w \h </w:instrText>
      </w:r>
      <w:r w:rsidR="00F22C3E">
        <w:fldChar w:fldCharType="separate"/>
      </w:r>
      <w:r w:rsidR="00F22C3E">
        <w:t>3.5</w:t>
      </w:r>
      <w:r w:rsidR="00F22C3E">
        <w:fldChar w:fldCharType="end"/>
      </w:r>
      <w:r>
        <w:t xml:space="preserve">, we can </w:t>
      </w:r>
      <w:r w:rsidRPr="00D71624">
        <w:rPr>
          <w:i/>
          <w:iCs/>
        </w:rPr>
        <w:t>characterize the horizontal divergence at various divergence jaw settings</w:t>
      </w:r>
      <w:r>
        <w:t>. This measurement could be restricted to a horizontal pin-hole scan</w:t>
      </w:r>
      <w:r w:rsidR="00C65C4B">
        <w:t xml:space="preserve">, or even better, using a specialized rig to specifically measure divergence profiles, e-g by using a Soller collimator setup. </w:t>
      </w:r>
    </w:p>
    <w:p w14:paraId="330909A4" w14:textId="1E6F5AD7" w:rsidR="00800AFA" w:rsidRDefault="00800AFA" w:rsidP="00AC75B3">
      <w:pPr>
        <w:keepNext/>
        <w:jc w:val="center"/>
      </w:pPr>
      <w:r>
        <w:rPr>
          <w:noProof/>
        </w:rPr>
        <w:lastRenderedPageBreak/>
        <mc:AlternateContent>
          <mc:Choice Requires="wps">
            <w:drawing>
              <wp:anchor distT="0" distB="0" distL="114300" distR="114300" simplePos="0" relativeHeight="251659264" behindDoc="0" locked="0" layoutInCell="1" allowOverlap="1" wp14:anchorId="30FCAA65" wp14:editId="053703BA">
                <wp:simplePos x="0" y="0"/>
                <wp:positionH relativeFrom="column">
                  <wp:posOffset>3449320</wp:posOffset>
                </wp:positionH>
                <wp:positionV relativeFrom="paragraph">
                  <wp:posOffset>23495</wp:posOffset>
                </wp:positionV>
                <wp:extent cx="383721" cy="459921"/>
                <wp:effectExtent l="19050" t="19050" r="16510" b="16510"/>
                <wp:wrapNone/>
                <wp:docPr id="525128428" name="Oval 2"/>
                <wp:cNvGraphicFramePr/>
                <a:graphic xmlns:a="http://schemas.openxmlformats.org/drawingml/2006/main">
                  <a:graphicData uri="http://schemas.microsoft.com/office/word/2010/wordprocessingShape">
                    <wps:wsp>
                      <wps:cNvSpPr/>
                      <wps:spPr>
                        <a:xfrm>
                          <a:off x="0" y="0"/>
                          <a:ext cx="383721" cy="459921"/>
                        </a:xfrm>
                        <a:prstGeom prst="ellipse">
                          <a:avLst/>
                        </a:prstGeom>
                        <a:noFill/>
                        <a:ln w="412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E1B864" id="Oval 2" o:spid="_x0000_s1026" style="position:absolute;margin-left:271.6pt;margin-top:1.85pt;width:30.2pt;height:3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" filled="f" strokecolor="red" strokeweight="3.25pt"/>
            </w:pict>
          </mc:Fallback>
        </mc:AlternateContent>
      </w:r>
      <w:r>
        <w:rPr>
          <w:noProof/>
        </w:rPr>
        <w:drawing>
          <wp:inline distT="0" distB="0" distL="0" distR="0" wp14:anchorId="3E0CEED9" wp14:editId="608A6541">
            <wp:extent cx="5211246" cy="1495415"/>
            <wp:effectExtent l="0" t="0" r="0" b="0"/>
            <wp:docPr id="1116296325" name="Picture 1" descr="A yellow and green triangle on a purpl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6325" name="Picture 1" descr="A yellow and green triangle on a purple background&#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16880" cy="1497032"/>
                    </a:xfrm>
                    <a:prstGeom prst="rect">
                      <a:avLst/>
                    </a:prstGeom>
                    <a:noFill/>
                    <a:ln>
                      <a:noFill/>
                    </a:ln>
                  </pic:spPr>
                </pic:pic>
              </a:graphicData>
            </a:graphic>
          </wp:inline>
        </w:drawing>
      </w:r>
    </w:p>
    <w:p w14:paraId="7CC3A441" w14:textId="46B5F32B" w:rsidR="00800AFA" w:rsidRDefault="00800AFA" w:rsidP="00AC75B3">
      <w:pPr>
        <w:pStyle w:val="TableFigureTitle"/>
      </w:pPr>
      <w:bookmarkStart w:id="52" w:name="_Ref196834315"/>
      <w:bookmarkStart w:id="53" w:name="_Toc199928251"/>
      <w:r>
        <w:t xml:space="preserve">Figure </w:t>
      </w:r>
      <w:r>
        <w:fldChar w:fldCharType="begin"/>
      </w:r>
      <w:r>
        <w:instrText xml:space="preserve"> SEQ Figure \* ARABIC </w:instrText>
      </w:r>
      <w:r>
        <w:fldChar w:fldCharType="separate"/>
      </w:r>
      <w:r w:rsidR="001621CA">
        <w:rPr>
          <w:noProof/>
        </w:rPr>
        <w:t>7</w:t>
      </w:r>
      <w:r>
        <w:fldChar w:fldCharType="end"/>
      </w:r>
      <w:bookmarkEnd w:id="52"/>
      <w:r w:rsidR="00AC75B3">
        <w:t xml:space="preserve"> -</w:t>
      </w:r>
      <w:r>
        <w:t xml:space="preserve"> Acceptance diagrams of three jaw settings</w:t>
      </w:r>
      <w:bookmarkEnd w:id="53"/>
    </w:p>
    <w:p w14:paraId="45ECC0F1" w14:textId="157FECCC" w:rsidR="00800AFA" w:rsidRDefault="00800AFA" w:rsidP="00EF0248">
      <w:r>
        <w:t xml:space="preserve">These measurements should be conducted with high exposure times, in order to pinpoint potential parasitic beams like the one shown in </w:t>
      </w:r>
      <w:r>
        <w:fldChar w:fldCharType="begin"/>
      </w:r>
      <w:r>
        <w:instrText xml:space="preserve"> REF _Ref196834315 \h </w:instrText>
      </w:r>
      <w:r>
        <w:fldChar w:fldCharType="separate"/>
      </w:r>
      <w:r w:rsidR="00F22C3E">
        <w:t xml:space="preserve">Figure </w:t>
      </w:r>
      <w:r w:rsidR="00F22C3E">
        <w:rPr>
          <w:noProof/>
        </w:rPr>
        <w:t>7</w:t>
      </w:r>
      <w:r>
        <w:fldChar w:fldCharType="end"/>
      </w:r>
      <w:r>
        <w:t xml:space="preserve">. The one shown in the figure is no problem, but if the jaws to not work as expected in conjunction with the guide system, </w:t>
      </w:r>
      <w:r w:rsidR="00E14E69">
        <w:t xml:space="preserve">it needs to be discovered in this measurement. </w:t>
      </w:r>
    </w:p>
    <w:p w14:paraId="2785C344" w14:textId="476C3A2F" w:rsidR="00F716F3" w:rsidRDefault="00E14E69" w:rsidP="00F716F3">
      <w:pPr>
        <w:rPr>
          <w:i/>
          <w:iCs/>
        </w:rPr>
      </w:pPr>
      <w:r w:rsidRPr="00D71624">
        <w:rPr>
          <w:i/>
          <w:iCs/>
        </w:rPr>
        <w:t xml:space="preserve">In addition, some refinement of jaw settings should be expected, perhaps there are a few divergence jaw settings that are more clean than others. These should be identified as standards. </w:t>
      </w:r>
    </w:p>
    <w:p w14:paraId="42B00BC7" w14:textId="531FC066" w:rsidR="00DE377A" w:rsidRPr="00D71624" w:rsidRDefault="000D20AA" w:rsidP="00F716F3">
      <w:pPr>
        <w:rPr>
          <w:i/>
          <w:iCs/>
        </w:rPr>
      </w:pPr>
      <w:r>
        <w:rPr>
          <w:i/>
          <w:iCs/>
        </w:rPr>
        <w:t>A final test is to measure powder peaks with increasingly smaller incoming divergence. Due to the good resolution of the BIFROST secondary spectrometer, the peak should narrow significantly</w:t>
      </w:r>
    </w:p>
    <w:p w14:paraId="6741ABCB" w14:textId="1E07C030" w:rsidR="00946D47" w:rsidRDefault="00475617" w:rsidP="00475617">
      <w:pPr>
        <w:pStyle w:val="Heading3"/>
      </w:pPr>
      <w:r>
        <w:t xml:space="preserve"> </w:t>
      </w:r>
      <w:bookmarkStart w:id="54" w:name="_Toc199928644"/>
      <w:r w:rsidR="000D20AA">
        <w:t xml:space="preserve">Nice-to-have: </w:t>
      </w:r>
      <w:r w:rsidR="00946D47">
        <w:t xml:space="preserve">Sample slit </w:t>
      </w:r>
      <w:r w:rsidR="00946D47" w:rsidRPr="00475617">
        <w:t>characterization</w:t>
      </w:r>
      <w:r w:rsidR="00946D47">
        <w:t>, GEM beam monitor (M4)</w:t>
      </w:r>
      <w:r w:rsidR="003B200C">
        <w:t xml:space="preserve"> (</w:t>
      </w:r>
      <w:r w:rsidR="0085358C">
        <w:t>6</w:t>
      </w:r>
      <w:r w:rsidR="003B200C">
        <w:t xml:space="preserve"> days)</w:t>
      </w:r>
      <w:bookmarkEnd w:id="54"/>
    </w:p>
    <w:p w14:paraId="527BBD0E" w14:textId="26F4F6A7" w:rsidR="00DE377A" w:rsidRPr="00951805" w:rsidRDefault="00DE377A" w:rsidP="00DE377A">
      <w:pPr>
        <w:pBdr>
          <w:top w:val="single" w:sz="4" w:space="1" w:color="auto"/>
          <w:left w:val="single" w:sz="4" w:space="4" w:color="auto"/>
          <w:bottom w:val="single" w:sz="4" w:space="1" w:color="auto"/>
          <w:right w:val="single" w:sz="4" w:space="4" w:color="auto"/>
        </w:pBdr>
        <w:rPr>
          <w:b/>
          <w:bCs/>
        </w:rPr>
      </w:pPr>
      <w:r w:rsidRPr="00951805">
        <w:rPr>
          <w:b/>
          <w:bCs/>
        </w:rPr>
        <w:t xml:space="preserve">FBS: </w:t>
      </w:r>
      <w:r w:rsidRPr="00951805">
        <w:rPr>
          <w:b/>
          <w:bCs/>
        </w:rPr>
        <w:tab/>
        <w:t xml:space="preserve">ESS.NSS.H01.BIFRO.A01.R02.R01.R04 – Sample slits  </w:t>
      </w:r>
    </w:p>
    <w:p w14:paraId="61F1FF12" w14:textId="73903300" w:rsidR="00F716F3" w:rsidRDefault="00F716F3" w:rsidP="00F716F3">
      <w:r>
        <w:t xml:space="preserve">The sample slit motors has been tested. But it would still be valuable to </w:t>
      </w:r>
      <w:r w:rsidR="003D2895">
        <w:t>measure</w:t>
      </w:r>
      <w:r>
        <w:t xml:space="preserve"> the beam profile at the sample position, for realistic sample slit distances from the sample. This is to quantify the beam for future designs of pressure cells etc. </w:t>
      </w:r>
    </w:p>
    <w:p w14:paraId="64A4B8D4" w14:textId="76DADC6F" w:rsidR="00F716F3" w:rsidRDefault="00F716F3" w:rsidP="00D23FD6">
      <w:pPr>
        <w:pStyle w:val="ListParagraph"/>
        <w:numPr>
          <w:ilvl w:val="0"/>
          <w:numId w:val="29"/>
        </w:numPr>
      </w:pPr>
      <w:r>
        <w:t>For the sample slit positioned at the closest distance to an orange cryostat, measure the beam profile of 1x1 mm, 2x2 mm, 5x5 mm and 10 x 10 mm slits</w:t>
      </w:r>
    </w:p>
    <w:p w14:paraId="0B143A55" w14:textId="05C09848" w:rsidR="00F716F3" w:rsidRDefault="00F716F3" w:rsidP="00D23FD6">
      <w:pPr>
        <w:pStyle w:val="ListParagraph"/>
        <w:numPr>
          <w:ilvl w:val="0"/>
          <w:numId w:val="29"/>
        </w:numPr>
      </w:pPr>
      <w:r>
        <w:t>For the sample slit positioned at the closest distance to an 15 T cry</w:t>
      </w:r>
      <w:r w:rsidR="00AC1EDF">
        <w:t>o</w:t>
      </w:r>
      <w:r>
        <w:t>magnet, measure the beam profile of 1x1 mm, 2x2 mm, 5x5 mm and 10 x 10 mm slits</w:t>
      </w:r>
    </w:p>
    <w:p w14:paraId="38726BAE" w14:textId="329E4BD7" w:rsidR="00F716F3" w:rsidRDefault="00F716F3" w:rsidP="00D23FD6">
      <w:pPr>
        <w:pStyle w:val="ListParagraph"/>
        <w:numPr>
          <w:ilvl w:val="0"/>
          <w:numId w:val="29"/>
        </w:numPr>
      </w:pPr>
      <w:r>
        <w:t xml:space="preserve">Repeat the two measurements above for the most aggressive divergence jaw setting, as the beam profile is supposed to be more controllable. </w:t>
      </w:r>
    </w:p>
    <w:p w14:paraId="62C6BEB9" w14:textId="41E1882B" w:rsidR="00F716F3" w:rsidRDefault="00F716F3" w:rsidP="00F716F3">
      <w:r>
        <w:t xml:space="preserve">If necessary, repeat for other settings of interest. </w:t>
      </w:r>
    </w:p>
    <w:p w14:paraId="0A9E02F0" w14:textId="65298A70" w:rsidR="002758AE" w:rsidRDefault="002758AE" w:rsidP="00475617">
      <w:pPr>
        <w:pStyle w:val="Heading3"/>
      </w:pPr>
      <w:bookmarkStart w:id="55" w:name="_Ref196903040"/>
      <w:bookmarkStart w:id="56" w:name="_Toc199928645"/>
      <w:r>
        <w:t xml:space="preserve">Initial flux </w:t>
      </w:r>
      <w:r w:rsidRPr="00475617">
        <w:t>measurement</w:t>
      </w:r>
      <w:r>
        <w:t xml:space="preserve"> – high pressure </w:t>
      </w:r>
      <w:r w:rsidRPr="002758AE">
        <w:rPr>
          <w:vertAlign w:val="superscript"/>
        </w:rPr>
        <w:t>3</w:t>
      </w:r>
      <w:r>
        <w:t>He-tube</w:t>
      </w:r>
      <w:bookmarkEnd w:id="55"/>
      <w:r w:rsidR="003B200C">
        <w:t xml:space="preserve"> (</w:t>
      </w:r>
      <w:r w:rsidR="008E5B66">
        <w:t>1</w:t>
      </w:r>
      <w:r w:rsidR="003B200C">
        <w:t xml:space="preserve"> days)</w:t>
      </w:r>
      <w:r w:rsidR="00DB4892">
        <w:t xml:space="preserve"> H</w:t>
      </w:r>
      <w:r w:rsidR="002B5E45">
        <w:t xml:space="preserve">igh level requirements </w:t>
      </w:r>
      <w:r w:rsidR="00DB4892" w:rsidRPr="00DB4892">
        <w:t>4</w:t>
      </w:r>
      <w:r w:rsidR="00E76D02">
        <w:t xml:space="preserve"> and</w:t>
      </w:r>
      <w:r w:rsidR="002B5E45">
        <w:t xml:space="preserve"> </w:t>
      </w:r>
      <w:r w:rsidR="00E76D02" w:rsidRPr="00E76D02">
        <w:t>6</w:t>
      </w:r>
      <w:bookmarkEnd w:id="56"/>
    </w:p>
    <w:p w14:paraId="320E3B0D" w14:textId="4AF70595" w:rsidR="00657366" w:rsidRDefault="00F959AF" w:rsidP="00AE64B0">
      <w:r>
        <w:t xml:space="preserve">After the beam geometry has been characterized, a first attempt to understand the absolute flux will be made. For this, a high pressure He-3 tube would be suited, since for high wavelengths, the efficiency is close to 1 for the entire band (saturation). The challenge is then to reduce flux enough to avoid saturating the tube – staying well below the maximum count rate of 100.000 counts pr second. </w:t>
      </w:r>
      <w:r>
        <w:br/>
      </w:r>
      <w:r>
        <w:br/>
        <w:t>Maximum flux at 2 MW is around 5*10</w:t>
      </w:r>
      <w:r w:rsidRPr="00F959AF">
        <w:rPr>
          <w:vertAlign w:val="superscript"/>
        </w:rPr>
        <w:t>9</w:t>
      </w:r>
      <w:r>
        <w:t xml:space="preserve"> n/s/cm</w:t>
      </w:r>
      <w:r w:rsidRPr="00F959AF">
        <w:rPr>
          <w:vertAlign w:val="superscript"/>
        </w:rPr>
        <w:t>2</w:t>
      </w:r>
      <w:r>
        <w:t xml:space="preserve">, </w:t>
      </w:r>
      <w:r w:rsidR="00871363">
        <w:t xml:space="preserve">and the B4C attenuator on BIFROST reduces flux by a factor of 50. </w:t>
      </w:r>
      <w:r w:rsidR="002051FF">
        <w:t xml:space="preserve">Operating the source at 200 kW reduces flux by another factor of 10. We then plan to construct a mask for the guide, which has small uniformly distributed holes across the guide opening, sampling the entire guide phase space, but absorbing a factor of 100. In such a setup, the overall neutron flux hitting the sample position is reduced by a factor 50.000 – leaving a </w:t>
      </w:r>
      <w:r w:rsidR="002051FF">
        <w:lastRenderedPageBreak/>
        <w:t>flux at the sample of 10</w:t>
      </w:r>
      <w:r w:rsidR="002051FF">
        <w:rPr>
          <w:vertAlign w:val="superscript"/>
        </w:rPr>
        <w:t>5</w:t>
      </w:r>
      <w:r w:rsidR="002051FF">
        <w:t xml:space="preserve"> n/s/cm</w:t>
      </w:r>
      <w:r w:rsidR="002051FF" w:rsidRPr="00F959AF">
        <w:rPr>
          <w:vertAlign w:val="superscript"/>
        </w:rPr>
        <w:t>2</w:t>
      </w:r>
      <w:r w:rsidR="002051FF">
        <w:t xml:space="preserve">. Then a 3x3 mm2 slit in front of a 12.6 mm detector tube, would only illuminate the center of the tube with a neutron current of around 10.000 n/s, see </w:t>
      </w:r>
      <w:r w:rsidR="002051FF">
        <w:fldChar w:fldCharType="begin"/>
      </w:r>
      <w:r w:rsidR="002051FF">
        <w:instrText xml:space="preserve"> REF _Ref196902606 \h </w:instrText>
      </w:r>
      <w:r w:rsidR="002051FF">
        <w:fldChar w:fldCharType="separate"/>
      </w:r>
      <w:r w:rsidR="00F22C3E">
        <w:t xml:space="preserve">Figure </w:t>
      </w:r>
      <w:r w:rsidR="00F22C3E">
        <w:rPr>
          <w:noProof/>
        </w:rPr>
        <w:t>8</w:t>
      </w:r>
      <w:r w:rsidR="002051FF">
        <w:fldChar w:fldCharType="end"/>
      </w:r>
      <w:r w:rsidR="002051FF">
        <w:t xml:space="preserve">. </w:t>
      </w:r>
    </w:p>
    <w:p w14:paraId="4A784ED5" w14:textId="77777777" w:rsidR="002051FF" w:rsidRPr="00AE64B0" w:rsidRDefault="002051FF" w:rsidP="00AE64B0"/>
    <w:p w14:paraId="44C58F2A" w14:textId="77777777" w:rsidR="00657366" w:rsidRDefault="00AE64B0" w:rsidP="00475617">
      <w:pPr>
        <w:keepNext/>
        <w:jc w:val="center"/>
      </w:pPr>
      <w:r>
        <w:rPr>
          <w:noProof/>
        </w:rPr>
        <w:drawing>
          <wp:inline distT="0" distB="0" distL="0" distR="0" wp14:anchorId="19983E7E" wp14:editId="5C261A25">
            <wp:extent cx="5678848" cy="2042342"/>
            <wp:effectExtent l="0" t="0" r="0" b="0"/>
            <wp:docPr id="15144982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98225" name="Picture 1514498225"/>
                    <pic:cNvPicPr/>
                  </pic:nvPicPr>
                  <pic:blipFill>
                    <a:blip r:embed="rId29"/>
                    <a:stretch>
                      <a:fillRect/>
                    </a:stretch>
                  </pic:blipFill>
                  <pic:spPr>
                    <a:xfrm>
                      <a:off x="0" y="0"/>
                      <a:ext cx="5713502" cy="2054805"/>
                    </a:xfrm>
                    <a:prstGeom prst="rect">
                      <a:avLst/>
                    </a:prstGeom>
                  </pic:spPr>
                </pic:pic>
              </a:graphicData>
            </a:graphic>
          </wp:inline>
        </w:drawing>
      </w:r>
    </w:p>
    <w:p w14:paraId="4DD01BA9" w14:textId="184FE964" w:rsidR="002758AE" w:rsidRDefault="00657366" w:rsidP="00475617">
      <w:pPr>
        <w:pStyle w:val="TableFigureTitle"/>
      </w:pPr>
      <w:bookmarkStart w:id="57" w:name="_Ref196902606"/>
      <w:bookmarkStart w:id="58" w:name="_Toc199928252"/>
      <w:r>
        <w:t xml:space="preserve">Figure </w:t>
      </w:r>
      <w:r>
        <w:fldChar w:fldCharType="begin"/>
      </w:r>
      <w:r>
        <w:instrText xml:space="preserve"> SEQ Figure \* ARABIC </w:instrText>
      </w:r>
      <w:r>
        <w:fldChar w:fldCharType="separate"/>
      </w:r>
      <w:r w:rsidR="001621CA">
        <w:rPr>
          <w:noProof/>
        </w:rPr>
        <w:t>8</w:t>
      </w:r>
      <w:r>
        <w:fldChar w:fldCharType="end"/>
      </w:r>
      <w:bookmarkEnd w:id="57"/>
      <w:r w:rsidR="00475617">
        <w:t xml:space="preserve"> -</w:t>
      </w:r>
      <w:r>
        <w:t xml:space="preserve"> Suggested flux calibration setup</w:t>
      </w:r>
      <w:bookmarkEnd w:id="58"/>
    </w:p>
    <w:p w14:paraId="032764C9" w14:textId="1089F369" w:rsidR="002758AE" w:rsidRPr="00F716F3" w:rsidRDefault="002051FF" w:rsidP="00F716F3">
      <w:r>
        <w:t xml:space="preserve">By using the wavelength </w:t>
      </w:r>
      <w:r w:rsidR="00A46823">
        <w:t xml:space="preserve">band </w:t>
      </w:r>
      <w:r w:rsidR="00A46823" w:rsidRPr="0001673B">
        <w:t>of</w:t>
      </w:r>
      <w:r w:rsidRPr="0001673B">
        <w:t xml:space="preserve"> [5.3, 7] Å</w:t>
      </w:r>
      <w:r>
        <w:t xml:space="preserve">, </w:t>
      </w:r>
      <w:r w:rsidR="00A46823">
        <w:t xml:space="preserve">we </w:t>
      </w:r>
      <w:r>
        <w:t xml:space="preserve">would avoid the aluminium Bragg </w:t>
      </w:r>
      <w:r w:rsidR="0001673B">
        <w:t>edges and</w:t>
      </w:r>
      <w:r>
        <w:t xml:space="preserve"> would therefore allow an almost correction free flux measurement on the sample position</w:t>
      </w:r>
      <w:r w:rsidR="00A46823">
        <w:t xml:space="preserve"> in that interval.  </w:t>
      </w:r>
    </w:p>
    <w:p w14:paraId="18BD0ADE" w14:textId="6E5B4811" w:rsidR="00F716F3" w:rsidRDefault="00F716F3" w:rsidP="00475617">
      <w:pPr>
        <w:pStyle w:val="Heading3"/>
      </w:pPr>
      <w:bookmarkStart w:id="59" w:name="_Toc199928646"/>
      <w:r w:rsidRPr="00475617">
        <w:t>Beam</w:t>
      </w:r>
      <w:r>
        <w:t xml:space="preserve"> monitor normalization (M4)</w:t>
      </w:r>
      <w:r w:rsidR="003B200C">
        <w:t xml:space="preserve"> (</w:t>
      </w:r>
      <w:r w:rsidR="008E5B66">
        <w:t>2</w:t>
      </w:r>
      <w:r w:rsidR="003B200C">
        <w:t xml:space="preserve"> days)</w:t>
      </w:r>
      <w:bookmarkEnd w:id="59"/>
    </w:p>
    <w:p w14:paraId="64C73FCF" w14:textId="77777777" w:rsidR="002940A6" w:rsidRPr="00985CA6" w:rsidRDefault="002940A6" w:rsidP="002940A6">
      <w:pPr>
        <w:pBdr>
          <w:top w:val="single" w:sz="4" w:space="1" w:color="auto"/>
          <w:left w:val="single" w:sz="4" w:space="4" w:color="auto"/>
          <w:bottom w:val="single" w:sz="4" w:space="1" w:color="auto"/>
          <w:right w:val="single" w:sz="4" w:space="4" w:color="auto"/>
        </w:pBdr>
        <w:rPr>
          <w:b/>
          <w:bCs/>
        </w:rPr>
      </w:pPr>
      <w:r>
        <w:rPr>
          <w:b/>
          <w:bCs/>
        </w:rPr>
        <w:t>FBS:</w:t>
      </w:r>
      <w:r>
        <w:rPr>
          <w:b/>
          <w:bCs/>
        </w:rPr>
        <w:tab/>
      </w:r>
      <w:r w:rsidRPr="00985CA6">
        <w:rPr>
          <w:b/>
          <w:bCs/>
        </w:rPr>
        <w:t>ESS.NSS.H01.BIFRO.A01.B01.B0</w:t>
      </w:r>
      <w:r>
        <w:rPr>
          <w:b/>
          <w:bCs/>
        </w:rPr>
        <w:t>3</w:t>
      </w:r>
      <w:r w:rsidRPr="00985CA6">
        <w:rPr>
          <w:b/>
          <w:bCs/>
        </w:rPr>
        <w:t xml:space="preserve"> – Beam monitor M</w:t>
      </w:r>
      <w:r>
        <w:rPr>
          <w:b/>
          <w:bCs/>
        </w:rPr>
        <w:t>4</w:t>
      </w:r>
    </w:p>
    <w:p w14:paraId="3DD9BA27" w14:textId="3238EC6C" w:rsidR="002940A6" w:rsidRPr="00D71CA5" w:rsidRDefault="002940A6" w:rsidP="00D71CA5">
      <w:pPr>
        <w:pBdr>
          <w:top w:val="single" w:sz="4" w:space="1" w:color="auto"/>
          <w:left w:val="single" w:sz="4" w:space="4" w:color="auto"/>
          <w:bottom w:val="single" w:sz="4" w:space="1" w:color="auto"/>
          <w:right w:val="single" w:sz="4" w:space="4" w:color="auto"/>
        </w:pBdr>
        <w:rPr>
          <w:b/>
          <w:bCs/>
        </w:rPr>
      </w:pPr>
      <w:r w:rsidRPr="00985CA6">
        <w:rPr>
          <w:b/>
          <w:bCs/>
        </w:rPr>
        <w:tab/>
        <w:t>ESS.NSS.H01.BIFRO.A01.B01.C0</w:t>
      </w:r>
      <w:r>
        <w:rPr>
          <w:b/>
          <w:bCs/>
        </w:rPr>
        <w:t>3</w:t>
      </w:r>
      <w:r w:rsidRPr="00985CA6">
        <w:rPr>
          <w:b/>
          <w:bCs/>
        </w:rPr>
        <w:t xml:space="preserve"> – Beam monitor M</w:t>
      </w:r>
      <w:r>
        <w:rPr>
          <w:b/>
          <w:bCs/>
        </w:rPr>
        <w:t>4</w:t>
      </w:r>
      <w:r w:rsidRPr="00985CA6">
        <w:rPr>
          <w:b/>
          <w:bCs/>
        </w:rPr>
        <w:t xml:space="preserve"> DAQ system</w:t>
      </w:r>
    </w:p>
    <w:p w14:paraId="2131AA00" w14:textId="1500D8E1" w:rsidR="001008A7" w:rsidRDefault="00F716F3" w:rsidP="00F716F3">
      <w:r>
        <w:t>The GEM monitor 4</w:t>
      </w:r>
      <w:r w:rsidR="001008A7">
        <w:t xml:space="preserve"> is a fairly complex detector. However, the efficiency should still scale inversely with incident wavelength. This is not true for detectors with a large gas pressure with an efficiency close to 1.</w:t>
      </w:r>
    </w:p>
    <w:p w14:paraId="45F9BF08" w14:textId="21F07519" w:rsidR="00A46823" w:rsidRDefault="00A46823" w:rsidP="00F716F3">
      <w:r>
        <w:t>We propose to validate the performance of the normalization monitor M4 in the following way:</w:t>
      </w:r>
    </w:p>
    <w:p w14:paraId="247E23CF" w14:textId="4FC93680" w:rsidR="00A46823" w:rsidRDefault="00A46823" w:rsidP="00D23FD6">
      <w:pPr>
        <w:pStyle w:val="ListParagraph"/>
        <w:numPr>
          <w:ilvl w:val="0"/>
          <w:numId w:val="30"/>
        </w:numPr>
      </w:pPr>
      <w:r>
        <w:t xml:space="preserve">Repeat the measurement described in </w:t>
      </w:r>
      <w:r>
        <w:fldChar w:fldCharType="begin"/>
      </w:r>
      <w:r>
        <w:instrText xml:space="preserve"> REF _Ref196903040 \r \h </w:instrText>
      </w:r>
      <w:r>
        <w:fldChar w:fldCharType="separate"/>
      </w:r>
      <w:r w:rsidR="0001673B">
        <w:t>3.6.10</w:t>
      </w:r>
      <w:r>
        <w:fldChar w:fldCharType="end"/>
      </w:r>
      <w:r>
        <w:t>, only with removal of the slit in front of the guide. This will give a monitor spectrum, free of Bragg edges, to be normalized for 1/</w:t>
      </w:r>
      <w:r w:rsidRPr="00B65533">
        <w:rPr>
          <w:rFonts w:hint="eastAsia"/>
        </w:rPr>
        <w:t>λ</w:t>
      </w:r>
      <w:r>
        <w:rPr>
          <w:lang w:val="en-US"/>
        </w:rPr>
        <w:t>and compared to the He-3 tube measurement. Check that the spectrum can be reproduced, and use the He-3 flux measurement to normalize the monitor efficienc</w:t>
      </w:r>
      <w:r w:rsidR="008D192C">
        <w:rPr>
          <w:lang w:val="en-US"/>
        </w:rPr>
        <w:t>y</w:t>
      </w:r>
      <w:r>
        <w:rPr>
          <w:lang w:val="en-US"/>
        </w:rPr>
        <w:t xml:space="preserve"> (</w:t>
      </w:r>
      <w:r w:rsidRPr="00A46823">
        <w:rPr>
          <w:i/>
          <w:iCs/>
          <w:lang w:val="en-US"/>
        </w:rPr>
        <w:t>note: The monitor efficiency can and will drift with time, electrode performance, gas flow, gas composition will all influence the detector efficiency – the M4 will NOT be an absolute calibrated detector, however a ball park can be checked</w:t>
      </w:r>
      <w:r>
        <w:rPr>
          <w:lang w:val="en-US"/>
        </w:rPr>
        <w:t>)</w:t>
      </w:r>
      <w:r>
        <w:t xml:space="preserve"> </w:t>
      </w:r>
      <w:r w:rsidR="00D71624">
        <w:br/>
      </w:r>
    </w:p>
    <w:p w14:paraId="259D25BA" w14:textId="11679473" w:rsidR="00F716F3" w:rsidRDefault="00A46823" w:rsidP="00D23FD6">
      <w:pPr>
        <w:pStyle w:val="ListParagraph"/>
        <w:numPr>
          <w:ilvl w:val="0"/>
          <w:numId w:val="30"/>
        </w:numPr>
      </w:pPr>
      <w:r>
        <w:t xml:space="preserve">Spectrum </w:t>
      </w:r>
      <w:r w:rsidR="00DF7029">
        <w:t xml:space="preserve">test using our Bragg peak monitor. This monitor has 0.1 bar 3He pressure, and an </w:t>
      </w:r>
      <w:r>
        <w:t>e</w:t>
      </w:r>
      <w:r w:rsidR="00DF7029">
        <w:t xml:space="preserve">fficiency of around 1 % at 3 Å. </w:t>
      </w:r>
      <w:r>
        <w:t xml:space="preserve"> </w:t>
      </w:r>
      <w:r w:rsidR="00DF7029">
        <w:t>We plan to put a thin capillary containing Al</w:t>
      </w:r>
      <w:r w:rsidR="00DF7029" w:rsidRPr="00A46823">
        <w:rPr>
          <w:vertAlign w:val="subscript"/>
        </w:rPr>
        <w:t>2</w:t>
      </w:r>
      <w:r w:rsidR="00DF7029">
        <w:t>O</w:t>
      </w:r>
      <w:r w:rsidR="00DF7029" w:rsidRPr="00A46823">
        <w:rPr>
          <w:vertAlign w:val="subscript"/>
        </w:rPr>
        <w:t>3</w:t>
      </w:r>
      <w:r w:rsidR="00DF7029">
        <w:t xml:space="preserve"> powder on the sample </w:t>
      </w:r>
      <w:r w:rsidR="00475617">
        <w:t>position and</w:t>
      </w:r>
      <w:r w:rsidR="00DF7029">
        <w:t xml:space="preserve"> measure a ToF powder spectrum using our Bragg peak monitor at a fixed scattering angle. We use the M4 spectrum normalize</w:t>
      </w:r>
      <w:r>
        <w:t xml:space="preserve"> flux</w:t>
      </w:r>
      <w:r w:rsidR="00DF7029">
        <w:t xml:space="preserve"> for 1/</w:t>
      </w:r>
      <w:r w:rsidR="00DF7029" w:rsidRPr="00B65533">
        <w:rPr>
          <w:rFonts w:hint="eastAsia"/>
        </w:rPr>
        <w:t>λ</w:t>
      </w:r>
      <w:r w:rsidR="00DF7029">
        <w:t xml:space="preserve">and </w:t>
      </w:r>
      <w:r>
        <w:t xml:space="preserve">will </w:t>
      </w:r>
      <w:r w:rsidR="00DF7029">
        <w:t>normalize the recorded spectrum for 1/</w:t>
      </w:r>
      <w:r w:rsidR="00DF7029" w:rsidRPr="00B65533">
        <w:rPr>
          <w:rFonts w:hint="eastAsia"/>
        </w:rPr>
        <w:t>λ</w:t>
      </w:r>
      <w:r w:rsidR="00DF7029">
        <w:t>as well. This should allow us to refine the powder diffraction pattern to with a few percent peak intensity.</w:t>
      </w:r>
      <w:r>
        <w:t xml:space="preserve"> A peak intensity reproduction within a few percent would be very good – a 20 % discrepancy disappointing. </w:t>
      </w:r>
    </w:p>
    <w:p w14:paraId="70CD234E" w14:textId="2236A7CC" w:rsidR="008D192C" w:rsidRDefault="008D192C" w:rsidP="008D192C">
      <w:r>
        <w:t>Once incident beam normalization has produced an acceptable powder diffractogram, the incident beam is well understood</w:t>
      </w:r>
    </w:p>
    <w:p w14:paraId="38975025" w14:textId="77777777" w:rsidR="00394C91" w:rsidRDefault="00394C91" w:rsidP="00394C91"/>
    <w:p w14:paraId="1DCAE7FB" w14:textId="532B2D95" w:rsidR="00394C91" w:rsidRPr="00394C91" w:rsidRDefault="00394C91" w:rsidP="00394C91">
      <w:pPr>
        <w:rPr>
          <w:u w:val="single"/>
        </w:rPr>
      </w:pPr>
      <w:r w:rsidRPr="00394C91">
        <w:rPr>
          <w:u w:val="single"/>
        </w:rPr>
        <w:t>Note on Intensity normalization</w:t>
      </w:r>
      <w:r>
        <w:rPr>
          <w:u w:val="single"/>
        </w:rPr>
        <w:t xml:space="preserve"> on BIFROST</w:t>
      </w:r>
      <w:r w:rsidRPr="00394C91">
        <w:rPr>
          <w:u w:val="single"/>
        </w:rPr>
        <w:t xml:space="preserve"> in general:</w:t>
      </w:r>
    </w:p>
    <w:p w14:paraId="1170CAB2" w14:textId="4E7A3149" w:rsidR="00394C91" w:rsidRDefault="00394C91" w:rsidP="00394C91">
      <w:r>
        <w:t>It is worth noting that on BIFROST – like on a TAS - there will be a considerable amount of material between the sample and the detector. Aluminum rings in the magnet, aluminum windows, 200 mm of beryllium, si-wafers and pyrolytic graphite. These all have absorption, phonon scattering, potential Bragg edges etc, which will reduce the measured peak intensity as compared to the nominal one. In addition, these effects are not easily understood, since the analysers operate in the large wavelength regime, where few Bragg peaks are present for any material.</w:t>
      </w:r>
      <w:r w:rsidR="00F5402F">
        <w:t xml:space="preserve"> Vanadium normalization will be performed, but this is using one sample geometry, one sample characteristic etc. </w:t>
      </w:r>
    </w:p>
    <w:p w14:paraId="595754EC" w14:textId="27E5073F" w:rsidR="00394C91" w:rsidRPr="00F716F3" w:rsidRDefault="00394C91" w:rsidP="00394C91">
      <w:r>
        <w:t>A systematic intensity uncertainty of around +/- 5 %, or larger, is to be expected</w:t>
      </w:r>
      <w:r w:rsidR="003B200C">
        <w:t xml:space="preserve">. </w:t>
      </w:r>
      <w:r w:rsidR="00F5402F">
        <w:t>A</w:t>
      </w:r>
      <w:r w:rsidR="003B200C">
        <w:t xml:space="preserve">n understanding of the incident spectrum significantly better than these systematic errors in the secondary spectrometer, will be relatively futile. </w:t>
      </w:r>
      <w:r w:rsidR="003B200C">
        <w:br/>
      </w:r>
      <w:r w:rsidR="003B200C">
        <w:br/>
        <w:t xml:space="preserve">We are working towards a </w:t>
      </w:r>
      <w:r w:rsidR="00DA7523">
        <w:t>U</w:t>
      </w:r>
      <w:r w:rsidR="003B200C">
        <w:t>nion model</w:t>
      </w:r>
      <w:r w:rsidR="00DA7523">
        <w:t xml:space="preserve"> (in McStas)</w:t>
      </w:r>
      <w:r w:rsidR="003B200C">
        <w:t xml:space="preserve"> of the BIFROST backend, </w:t>
      </w:r>
      <w:r w:rsidR="004B5EDB">
        <w:t>to</w:t>
      </w:r>
      <w:r w:rsidR="003B200C">
        <w:t xml:space="preserve"> quantify these errors. While the effects may not be directly measured, such calculations could be used to correct the data, and benchmarked against known systems, measured on direct geometry spectrometers.  </w:t>
      </w:r>
      <w:r>
        <w:t xml:space="preserve">  </w:t>
      </w:r>
    </w:p>
    <w:p w14:paraId="68AC9ED4" w14:textId="0000C321" w:rsidR="009B498E" w:rsidRDefault="009B498E" w:rsidP="008F3FCD">
      <w:pPr>
        <w:pStyle w:val="Heading3"/>
      </w:pPr>
      <w:r w:rsidRPr="00C1285D">
        <w:t xml:space="preserve"> </w:t>
      </w:r>
      <w:bookmarkStart w:id="60" w:name="_Toc199928647"/>
      <w:r w:rsidRPr="00C1285D">
        <w:t xml:space="preserve">Attenuator tests, </w:t>
      </w:r>
      <w:r w:rsidRPr="008F3FCD">
        <w:t>GEM</w:t>
      </w:r>
      <w:r w:rsidRPr="00C1285D">
        <w:t xml:space="preserve"> beam monitor (M4)</w:t>
      </w:r>
      <w:r w:rsidR="003B200C">
        <w:t xml:space="preserve"> (</w:t>
      </w:r>
      <w:r w:rsidR="008E5B66">
        <w:t>1</w:t>
      </w:r>
      <w:r w:rsidR="003B200C">
        <w:t xml:space="preserve"> day)</w:t>
      </w:r>
      <w:bookmarkEnd w:id="60"/>
    </w:p>
    <w:p w14:paraId="20DAD9D1" w14:textId="72A506B8" w:rsidR="00C71BFF" w:rsidRPr="00951805" w:rsidRDefault="00C53811" w:rsidP="00C53811">
      <w:pPr>
        <w:pBdr>
          <w:top w:val="single" w:sz="4" w:space="1" w:color="auto"/>
          <w:left w:val="single" w:sz="4" w:space="4" w:color="auto"/>
          <w:bottom w:val="single" w:sz="4" w:space="1" w:color="auto"/>
          <w:right w:val="single" w:sz="4" w:space="4" w:color="auto"/>
        </w:pBdr>
        <w:rPr>
          <w:b/>
          <w:bCs/>
        </w:rPr>
      </w:pPr>
      <w:r w:rsidRPr="00951805">
        <w:rPr>
          <w:b/>
          <w:bCs/>
        </w:rPr>
        <w:t xml:space="preserve">FBS: </w:t>
      </w:r>
      <w:r w:rsidRPr="00951805">
        <w:rPr>
          <w:b/>
          <w:bCs/>
        </w:rPr>
        <w:tab/>
        <w:t>ESS.NSS.H01.BIFRO.A01.R03.R04 – Beam attenuators</w:t>
      </w:r>
    </w:p>
    <w:p w14:paraId="1BB3261B" w14:textId="5E7189F1" w:rsidR="00C1285D" w:rsidRDefault="00C1285D" w:rsidP="009B498E">
      <w:r>
        <w:t xml:space="preserve">Using the beam monitor spectrum, measure the spectrum using all three attenuators. </w:t>
      </w:r>
    </w:p>
    <w:p w14:paraId="028D0D23" w14:textId="1A53ECE7" w:rsidR="008B4C50" w:rsidRDefault="008B4C50" w:rsidP="008F3FCD">
      <w:pPr>
        <w:pStyle w:val="Heading3"/>
      </w:pPr>
      <w:bookmarkStart w:id="61" w:name="_Toc199928648"/>
      <w:r>
        <w:t xml:space="preserve">Gold foil </w:t>
      </w:r>
      <w:r w:rsidRPr="008F3FCD">
        <w:t>measurements</w:t>
      </w:r>
      <w:r w:rsidR="003B200C">
        <w:t xml:space="preserve"> (</w:t>
      </w:r>
      <w:r w:rsidR="008E5B66">
        <w:t>1</w:t>
      </w:r>
      <w:r w:rsidR="003B200C">
        <w:t xml:space="preserve"> day)</w:t>
      </w:r>
      <w:r w:rsidR="00DB4892">
        <w:t xml:space="preserve"> H</w:t>
      </w:r>
      <w:r w:rsidR="003C274A">
        <w:t>igh level requirements 4 and 6</w:t>
      </w:r>
      <w:bookmarkEnd w:id="61"/>
    </w:p>
    <w:p w14:paraId="30AC59D2" w14:textId="60271090" w:rsidR="008B4C50" w:rsidRPr="008B4C50" w:rsidRDefault="008B4C50" w:rsidP="008B4C50">
      <w:r>
        <w:t xml:space="preserve">Once the primary spectrometer has been characterized, </w:t>
      </w:r>
      <w:r w:rsidRPr="00D71624">
        <w:rPr>
          <w:i/>
          <w:iCs/>
        </w:rPr>
        <w:t>we aim to perform gold foil flux measurements</w:t>
      </w:r>
      <w:r>
        <w:t xml:space="preserve"> – using the existing gamma ray spectrometer in a nearby lab. These would be done using the wavelength bands [1.5 - 3.25], [3.25 - 5], [5 6.75] and</w:t>
      </w:r>
      <w:r w:rsidR="00394C91">
        <w:t xml:space="preserve"> lastly</w:t>
      </w:r>
      <w:r>
        <w:t xml:space="preserve"> [5.3 – 7] Å, in order to benchmark the flux measurement using the attenuated beam. If these two measurements are consistent, the flux curve for the instrument across the entire band, can be but on absolute scale, using the M4 data </w:t>
      </w:r>
    </w:p>
    <w:p w14:paraId="3341DC5E" w14:textId="653AE3CA" w:rsidR="008E6E91" w:rsidRDefault="007D734A" w:rsidP="008F3FCD">
      <w:pPr>
        <w:pStyle w:val="Heading2"/>
      </w:pPr>
      <w:bookmarkStart w:id="62" w:name="_Toc199928649"/>
      <w:r>
        <w:t xml:space="preserve">Secondary </w:t>
      </w:r>
      <w:r w:rsidRPr="008F3FCD">
        <w:t>spectrometer</w:t>
      </w:r>
      <w:bookmarkEnd w:id="62"/>
    </w:p>
    <w:p w14:paraId="50F530DF" w14:textId="77777777" w:rsidR="00E326D2" w:rsidRPr="008F3FCD" w:rsidRDefault="00E326D2" w:rsidP="00E326D2">
      <w:pPr>
        <w:spacing w:after="0"/>
        <w:rPr>
          <w:rFonts w:cs="Segoe UI Historic"/>
          <w:i/>
          <w:iCs/>
        </w:rPr>
      </w:pPr>
      <w:r w:rsidRPr="008F3FCD">
        <w:rPr>
          <w:rFonts w:cs="Segoe UI Historic"/>
          <w:b/>
          <w:bCs/>
          <w:i/>
          <w:iCs/>
          <w:u w:val="single"/>
        </w:rPr>
        <w:t>People involved:</w:t>
      </w:r>
      <w:r w:rsidRPr="008F3FCD">
        <w:rPr>
          <w:rFonts w:cs="Segoe UI Historic"/>
          <w:i/>
          <w:iCs/>
        </w:rPr>
        <w:t xml:space="preserve"> </w:t>
      </w:r>
    </w:p>
    <w:p w14:paraId="6960C243" w14:textId="77777777" w:rsidR="00E326D2" w:rsidRPr="008F3FCD" w:rsidRDefault="00E326D2" w:rsidP="00D23FD6">
      <w:pPr>
        <w:pStyle w:val="ListParagraph"/>
        <w:numPr>
          <w:ilvl w:val="0"/>
          <w:numId w:val="27"/>
        </w:numPr>
        <w:spacing w:after="0"/>
        <w:rPr>
          <w:rFonts w:cs="Segoe UI Historic"/>
        </w:rPr>
      </w:pPr>
      <w:r w:rsidRPr="008F3FCD">
        <w:rPr>
          <w:rFonts w:cs="Segoe UI Historic"/>
          <w:i/>
          <w:iCs/>
        </w:rPr>
        <w:t xml:space="preserve">Available at all times: </w:t>
      </w:r>
      <w:r w:rsidRPr="008F3FCD">
        <w:rPr>
          <w:rFonts w:cs="Segoe UI Historic"/>
        </w:rPr>
        <w:t>Instrument scientists (x2), instrument data scientist, IOE</w:t>
      </w:r>
    </w:p>
    <w:p w14:paraId="400969B8" w14:textId="0526EA80" w:rsidR="00E326D2" w:rsidRPr="008F3FCD" w:rsidRDefault="00E326D2" w:rsidP="00D23FD6">
      <w:pPr>
        <w:pStyle w:val="ListParagraph"/>
        <w:numPr>
          <w:ilvl w:val="0"/>
          <w:numId w:val="27"/>
        </w:numPr>
        <w:spacing w:after="0"/>
        <w:rPr>
          <w:rFonts w:cs="Segoe UI Historic"/>
        </w:rPr>
      </w:pPr>
      <w:r w:rsidRPr="008F3FCD">
        <w:rPr>
          <w:rFonts w:cs="Segoe UI Historic"/>
          <w:i/>
          <w:iCs/>
        </w:rPr>
        <w:t>On call for ad hoc problems:</w:t>
      </w:r>
      <w:r w:rsidRPr="008F3FCD">
        <w:rPr>
          <w:rFonts w:cs="Segoe UI Historic"/>
        </w:rPr>
        <w:t xml:space="preserve"> motion control engineer, detector scientist for monitors and detectors</w:t>
      </w:r>
    </w:p>
    <w:p w14:paraId="44298877" w14:textId="77777777" w:rsidR="00E326D2" w:rsidRPr="008F3FCD" w:rsidRDefault="00E326D2" w:rsidP="00E326D2">
      <w:pPr>
        <w:spacing w:after="0"/>
        <w:rPr>
          <w:rFonts w:cs="Segoe UI Historic"/>
        </w:rPr>
      </w:pPr>
    </w:p>
    <w:p w14:paraId="08652828" w14:textId="25A685E8" w:rsidR="00E326D2" w:rsidRPr="008F3FCD" w:rsidRDefault="00E326D2" w:rsidP="00E326D2">
      <w:pPr>
        <w:spacing w:after="0"/>
        <w:rPr>
          <w:rFonts w:cs="Segoe UI Historic"/>
        </w:rPr>
      </w:pPr>
      <w:r w:rsidRPr="008F3FCD">
        <w:rPr>
          <w:rFonts w:cs="Segoe UI Historic"/>
          <w:b/>
          <w:bCs/>
          <w:u w:val="single"/>
        </w:rPr>
        <w:t>Components involved:</w:t>
      </w:r>
      <w:r w:rsidRPr="008F3FCD">
        <w:rPr>
          <w:rFonts w:cs="Segoe UI Historic"/>
        </w:rPr>
        <w:t xml:space="preserve"> Sample stack, detector tank, detector system, BM4 and BM5 </w:t>
      </w:r>
    </w:p>
    <w:p w14:paraId="4FB43F82" w14:textId="77777777" w:rsidR="00E326D2" w:rsidRPr="008F3FCD" w:rsidRDefault="00E326D2" w:rsidP="00E326D2">
      <w:pPr>
        <w:rPr>
          <w:rFonts w:cs="Segoe UI Historic"/>
          <w:b/>
          <w:bCs/>
        </w:rPr>
      </w:pPr>
    </w:p>
    <w:p w14:paraId="28098DA1" w14:textId="2DBDBB3A" w:rsidR="00263382" w:rsidRPr="008F3FCD" w:rsidRDefault="00263382" w:rsidP="00263382">
      <w:pPr>
        <w:rPr>
          <w:rFonts w:cs="Segoe UI Historic"/>
        </w:rPr>
      </w:pPr>
      <w:r w:rsidRPr="008F3FCD">
        <w:rPr>
          <w:rFonts w:cs="Segoe UI Historic"/>
        </w:rPr>
        <w:t xml:space="preserve">The secondary spectrometer is outlined </w:t>
      </w:r>
      <w:r w:rsidR="00AA11A3">
        <w:rPr>
          <w:rFonts w:cs="Segoe UI Historic"/>
        </w:rPr>
        <w:t>i</w:t>
      </w:r>
      <w:r w:rsidRPr="008F3FCD">
        <w:rPr>
          <w:rFonts w:cs="Segoe UI Historic"/>
        </w:rPr>
        <w:t xml:space="preserve">n </w:t>
      </w:r>
      <w:r w:rsidRPr="008F3FCD">
        <w:rPr>
          <w:rFonts w:cs="Segoe UI Historic"/>
        </w:rPr>
        <w:fldChar w:fldCharType="begin"/>
      </w:r>
      <w:r w:rsidRPr="008F3FCD">
        <w:rPr>
          <w:rFonts w:cs="Segoe UI Historic"/>
        </w:rPr>
        <w:instrText xml:space="preserve"> REF _Ref197410567 \h </w:instrText>
      </w:r>
      <w:r w:rsidR="008F3FCD">
        <w:rPr>
          <w:rFonts w:cs="Segoe UI Historic"/>
        </w:rPr>
        <w:instrText xml:space="preserve"> \* MERGEFORMAT </w:instrText>
      </w:r>
      <w:r w:rsidRPr="008F3FCD">
        <w:rPr>
          <w:rFonts w:cs="Segoe UI Historic"/>
        </w:rPr>
      </w:r>
      <w:r w:rsidRPr="008F3FCD">
        <w:rPr>
          <w:rFonts w:cs="Segoe UI Historic"/>
        </w:rPr>
        <w:fldChar w:fldCharType="separate"/>
      </w:r>
      <w:r w:rsidR="0001673B" w:rsidRPr="0001673B">
        <w:rPr>
          <w:rFonts w:cs="Segoe UI Historic"/>
        </w:rPr>
        <w:t xml:space="preserve">Figure </w:t>
      </w:r>
      <w:r w:rsidR="0001673B" w:rsidRPr="0001673B">
        <w:rPr>
          <w:rFonts w:cs="Segoe UI Historic"/>
          <w:noProof/>
        </w:rPr>
        <w:t>9</w:t>
      </w:r>
      <w:r w:rsidRPr="008F3FCD">
        <w:rPr>
          <w:rFonts w:cs="Segoe UI Historic"/>
        </w:rPr>
        <w:fldChar w:fldCharType="end"/>
      </w:r>
      <w:r w:rsidRPr="008F3FCD">
        <w:rPr>
          <w:rFonts w:cs="Segoe UI Historic"/>
        </w:rPr>
        <w:t>.</w:t>
      </w:r>
    </w:p>
    <w:p w14:paraId="1272A6C2" w14:textId="77777777" w:rsidR="00263382" w:rsidRDefault="00263382" w:rsidP="008F3FCD">
      <w:pPr>
        <w:keepNext/>
        <w:jc w:val="center"/>
      </w:pPr>
      <w:r>
        <w:rPr>
          <w:noProof/>
        </w:rPr>
        <w:lastRenderedPageBreak/>
        <w:drawing>
          <wp:inline distT="0" distB="0" distL="0" distR="0" wp14:anchorId="1922D066" wp14:editId="116A075A">
            <wp:extent cx="4153234" cy="3958908"/>
            <wp:effectExtent l="0" t="0" r="0" b="3810"/>
            <wp:docPr id="326780139" name="Picture 3" descr="A diagram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80139" name="Picture 3" descr="A diagram of a machine&#10;&#10;AI-generated content may be incorrect."/>
                    <pic:cNvPicPr/>
                  </pic:nvPicPr>
                  <pic:blipFill>
                    <a:blip r:embed="rId30"/>
                    <a:stretch>
                      <a:fillRect/>
                    </a:stretch>
                  </pic:blipFill>
                  <pic:spPr>
                    <a:xfrm>
                      <a:off x="0" y="0"/>
                      <a:ext cx="4162744" cy="3967973"/>
                    </a:xfrm>
                    <a:prstGeom prst="rect">
                      <a:avLst/>
                    </a:prstGeom>
                  </pic:spPr>
                </pic:pic>
              </a:graphicData>
            </a:graphic>
          </wp:inline>
        </w:drawing>
      </w:r>
    </w:p>
    <w:p w14:paraId="4C2D95D8" w14:textId="3C70A664" w:rsidR="00263382" w:rsidRPr="00263382" w:rsidRDefault="00263382" w:rsidP="008F3FCD">
      <w:pPr>
        <w:pStyle w:val="TableFigureTitle"/>
      </w:pPr>
      <w:bookmarkStart w:id="63" w:name="_Ref197410567"/>
      <w:bookmarkStart w:id="64" w:name="_Toc199928253"/>
      <w:r>
        <w:t xml:space="preserve">Figure </w:t>
      </w:r>
      <w:r>
        <w:fldChar w:fldCharType="begin"/>
      </w:r>
      <w:r>
        <w:instrText xml:space="preserve"> SEQ Figure \* ARABIC </w:instrText>
      </w:r>
      <w:r>
        <w:fldChar w:fldCharType="separate"/>
      </w:r>
      <w:r w:rsidR="001621CA">
        <w:rPr>
          <w:noProof/>
        </w:rPr>
        <w:t>9</w:t>
      </w:r>
      <w:r>
        <w:fldChar w:fldCharType="end"/>
      </w:r>
      <w:bookmarkEnd w:id="63"/>
      <w:r w:rsidR="008F3FCD">
        <w:t xml:space="preserve"> -</w:t>
      </w:r>
      <w:r>
        <w:t xml:space="preserve"> CAD model of the secondary spectrometer</w:t>
      </w:r>
      <w:bookmarkEnd w:id="64"/>
    </w:p>
    <w:p w14:paraId="697DBB0D" w14:textId="33582E41" w:rsidR="00136886" w:rsidRDefault="008F3FCD" w:rsidP="008F3FCD">
      <w:pPr>
        <w:pStyle w:val="Heading3"/>
      </w:pPr>
      <w:bookmarkStart w:id="65" w:name="_Ref199255161"/>
      <w:r>
        <w:t xml:space="preserve"> </w:t>
      </w:r>
      <w:bookmarkStart w:id="66" w:name="_Ref199928433"/>
      <w:bookmarkStart w:id="67" w:name="_Toc199928650"/>
      <w:r w:rsidR="00136886">
        <w:t>Detector charge division</w:t>
      </w:r>
      <w:r w:rsidR="001621CA">
        <w:t xml:space="preserve"> limits calibration</w:t>
      </w:r>
      <w:r w:rsidR="008B56B6">
        <w:t xml:space="preserve"> (</w:t>
      </w:r>
      <w:r w:rsidR="008E5B66">
        <w:t>2</w:t>
      </w:r>
      <w:r w:rsidR="008B56B6">
        <w:t xml:space="preserve"> days)</w:t>
      </w:r>
      <w:bookmarkEnd w:id="65"/>
      <w:bookmarkEnd w:id="66"/>
      <w:bookmarkEnd w:id="67"/>
    </w:p>
    <w:p w14:paraId="50504A1B" w14:textId="4845CD6D" w:rsidR="00C53811" w:rsidRPr="00951805" w:rsidRDefault="00C53811" w:rsidP="00C53811">
      <w:pPr>
        <w:pBdr>
          <w:top w:val="single" w:sz="4" w:space="1" w:color="auto"/>
          <w:left w:val="single" w:sz="4" w:space="4" w:color="auto"/>
          <w:bottom w:val="single" w:sz="4" w:space="1" w:color="auto"/>
          <w:right w:val="single" w:sz="4" w:space="4" w:color="auto"/>
        </w:pBdr>
        <w:rPr>
          <w:b/>
          <w:bCs/>
        </w:rPr>
      </w:pPr>
      <w:r w:rsidRPr="00951805">
        <w:rPr>
          <w:b/>
          <w:bCs/>
        </w:rPr>
        <w:t xml:space="preserve">FBS : </w:t>
      </w:r>
      <w:r w:rsidRPr="00951805">
        <w:rPr>
          <w:b/>
          <w:bCs/>
        </w:rPr>
        <w:tab/>
        <w:t>ESS.NSS.H01.BIFRO.B01.B01 – Detector System</w:t>
      </w:r>
    </w:p>
    <w:p w14:paraId="1F821E60" w14:textId="20B986E8" w:rsidR="00C53811" w:rsidRPr="00951805" w:rsidRDefault="00C53811" w:rsidP="00C53811">
      <w:pPr>
        <w:pBdr>
          <w:top w:val="single" w:sz="4" w:space="1" w:color="auto"/>
          <w:left w:val="single" w:sz="4" w:space="4" w:color="auto"/>
          <w:bottom w:val="single" w:sz="4" w:space="1" w:color="auto"/>
          <w:right w:val="single" w:sz="4" w:space="4" w:color="auto"/>
        </w:pBdr>
        <w:ind w:firstLine="720"/>
        <w:rPr>
          <w:b/>
          <w:bCs/>
        </w:rPr>
      </w:pPr>
      <w:r w:rsidRPr="00951805">
        <w:rPr>
          <w:b/>
          <w:bCs/>
        </w:rPr>
        <w:t>ESS.NSS.H01.BIFRO.B01.C01 – Detector electronics</w:t>
      </w:r>
    </w:p>
    <w:p w14:paraId="06DFEF6F" w14:textId="33B38CB2" w:rsidR="00136886" w:rsidRDefault="00136886" w:rsidP="00136886">
      <w:r>
        <w:t xml:space="preserve">Before calibrating the filter and the scattering angle it is important to </w:t>
      </w:r>
      <w:r w:rsidRPr="00D71624">
        <w:rPr>
          <w:i/>
          <w:iCs/>
        </w:rPr>
        <w:t>ensure that the discrimination limits of the detector triplets and their internal calibration is set correctly</w:t>
      </w:r>
      <w:r>
        <w:t xml:space="preserve">, at least to first order. </w:t>
      </w:r>
      <w:r>
        <w:fldChar w:fldCharType="begin"/>
      </w:r>
      <w:r>
        <w:instrText xml:space="preserve"> REF _Ref197370736 \h </w:instrText>
      </w:r>
      <w:r>
        <w:fldChar w:fldCharType="separate"/>
      </w:r>
      <w:r w:rsidR="00AA11A3">
        <w:t xml:space="preserve">Figure </w:t>
      </w:r>
      <w:r w:rsidR="00AA11A3">
        <w:rPr>
          <w:noProof/>
        </w:rPr>
        <w:t>10</w:t>
      </w:r>
      <w:r>
        <w:fldChar w:fldCharType="end"/>
      </w:r>
      <w:r>
        <w:t xml:space="preserve"> shows an example of event distribution (color scale) on a single triplet, with a uniformly illuminated triplet. The resistors separating the tubes</w:t>
      </w:r>
      <w:r w:rsidR="007D6329">
        <w:t xml:space="preserve"> create dead ratios, since they mimic resistive wire without neutron sensitivity. Therefore, 6 delineating points need to be defined, by measuring a uniformly illuminated triplet, separating the tubes. The charge division result within the ratio region corresponding to a tube, then yields the position of that tube</w:t>
      </w:r>
      <w:r w:rsidR="00AB3881">
        <w:t xml:space="preserve"> – hopefully in a linear fashion</w:t>
      </w:r>
      <w:r w:rsidR="007D6329">
        <w:t>.</w:t>
      </w:r>
      <w:r w:rsidR="00AB3881">
        <w:t xml:space="preserve"> This is not necessarily the case for long tubes, yet we expect a non-linear correction to be small on tubes shorter than 50 cm. This remains to be tested.</w:t>
      </w:r>
      <w:r w:rsidR="007D6329">
        <w:t xml:space="preserve"> The active length of a tube is known to within 1 mm, as per the FAT test. </w:t>
      </w:r>
    </w:p>
    <w:p w14:paraId="73D32F9D" w14:textId="77777777" w:rsidR="00136886" w:rsidRDefault="00136886" w:rsidP="008F3FCD">
      <w:pPr>
        <w:keepNext/>
        <w:jc w:val="center"/>
      </w:pPr>
      <w:r>
        <w:rPr>
          <w:noProof/>
        </w:rPr>
        <w:drawing>
          <wp:inline distT="0" distB="0" distL="0" distR="0" wp14:anchorId="24E667B3" wp14:editId="2C1FD702">
            <wp:extent cx="5720715" cy="836930"/>
            <wp:effectExtent l="0" t="0" r="0" b="1270"/>
            <wp:docPr id="11" name="Picture 1" descr="A yellow and orange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yellow and orange tube&#10;&#10;AI-generated content may be incorrect."/>
                    <pic:cNvPicPr>
                      <a:picLocks noChangeAspect="1"/>
                    </pic:cNvPicPr>
                  </pic:nvPicPr>
                  <pic:blipFill rotWithShape="1">
                    <a:blip r:embed="rId31"/>
                    <a:srcRect b="24805"/>
                    <a:stretch/>
                  </pic:blipFill>
                  <pic:spPr bwMode="auto">
                    <a:xfrm>
                      <a:off x="0" y="0"/>
                      <a:ext cx="5720715" cy="836930"/>
                    </a:xfrm>
                    <a:prstGeom prst="rect">
                      <a:avLst/>
                    </a:prstGeom>
                    <a:ln>
                      <a:noFill/>
                    </a:ln>
                    <a:extLst>
                      <a:ext uri="{53640926-AAD7-44D8-BBD7-CCE9431645EC}">
                        <a14:shadowObscured xmlns:a14="http://schemas.microsoft.com/office/drawing/2010/main"/>
                      </a:ext>
                    </a:extLst>
                  </pic:spPr>
                </pic:pic>
              </a:graphicData>
            </a:graphic>
          </wp:inline>
        </w:drawing>
      </w:r>
    </w:p>
    <w:p w14:paraId="79031692" w14:textId="1001FD7F" w:rsidR="00136886" w:rsidRPr="00136886" w:rsidRDefault="00136886" w:rsidP="008F3FCD">
      <w:pPr>
        <w:pStyle w:val="TableFigureTitle"/>
      </w:pPr>
      <w:bookmarkStart w:id="68" w:name="_Ref197370736"/>
      <w:bookmarkStart w:id="69" w:name="_Toc199928254"/>
      <w:r>
        <w:t xml:space="preserve">Figure </w:t>
      </w:r>
      <w:r>
        <w:fldChar w:fldCharType="begin"/>
      </w:r>
      <w:r>
        <w:instrText xml:space="preserve"> SEQ Figure \* ARABIC </w:instrText>
      </w:r>
      <w:r>
        <w:fldChar w:fldCharType="separate"/>
      </w:r>
      <w:r w:rsidR="001621CA">
        <w:rPr>
          <w:noProof/>
        </w:rPr>
        <w:t>10</w:t>
      </w:r>
      <w:r>
        <w:fldChar w:fldCharType="end"/>
      </w:r>
      <w:bookmarkEnd w:id="68"/>
      <w:r w:rsidR="008F3FCD">
        <w:t xml:space="preserve"> -</w:t>
      </w:r>
      <w:r>
        <w:t xml:space="preserve"> Example of charge division result when uniformly illuminating one triplet, with the three tubes separated by "dead ratios" for charge division</w:t>
      </w:r>
      <w:r>
        <w:rPr>
          <w:noProof/>
        </w:rPr>
        <w:t>, which are created by the resistors between tubes</w:t>
      </w:r>
      <w:bookmarkEnd w:id="69"/>
    </w:p>
    <w:p w14:paraId="41DF956F" w14:textId="77777777" w:rsidR="001621CA" w:rsidRDefault="001621CA" w:rsidP="00136886"/>
    <w:p w14:paraId="4A761DA7" w14:textId="3D11E924" w:rsidR="001621CA" w:rsidRDefault="001621CA" w:rsidP="00136886">
      <w:r>
        <w:lastRenderedPageBreak/>
        <w:t xml:space="preserve">By placing a vanadium sample on the sample position, and illuminating this with the proper wavelength band, the detector limits can be delineated, as per the simulation shown in </w:t>
      </w:r>
      <w:r>
        <w:fldChar w:fldCharType="begin"/>
      </w:r>
      <w:r>
        <w:instrText xml:space="preserve"> REF _Ref199254869 \h </w:instrText>
      </w:r>
      <w:r>
        <w:fldChar w:fldCharType="separate"/>
      </w:r>
      <w:r>
        <w:t xml:space="preserve">Figure </w:t>
      </w:r>
      <w:r>
        <w:rPr>
          <w:noProof/>
        </w:rPr>
        <w:t>11</w:t>
      </w:r>
      <w:r>
        <w:fldChar w:fldCharType="end"/>
      </w:r>
      <w:r>
        <w:t>.</w:t>
      </w:r>
    </w:p>
    <w:p w14:paraId="06A2FB44" w14:textId="77777777" w:rsidR="001621CA" w:rsidRDefault="001621CA" w:rsidP="008F3FCD">
      <w:pPr>
        <w:keepNext/>
        <w:jc w:val="center"/>
      </w:pPr>
      <w:r>
        <w:rPr>
          <w:noProof/>
        </w:rPr>
        <w:drawing>
          <wp:inline distT="0" distB="0" distL="0" distR="0" wp14:anchorId="04D3405F" wp14:editId="67912E25">
            <wp:extent cx="5113655" cy="3409950"/>
            <wp:effectExtent l="0" t="0" r="0" b="0"/>
            <wp:docPr id="2075520047"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20047" name="Picture 2" descr="A close-up of a graph&#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3655" cy="3409950"/>
                    </a:xfrm>
                    <a:prstGeom prst="rect">
                      <a:avLst/>
                    </a:prstGeom>
                    <a:noFill/>
                    <a:ln>
                      <a:noFill/>
                    </a:ln>
                  </pic:spPr>
                </pic:pic>
              </a:graphicData>
            </a:graphic>
          </wp:inline>
        </w:drawing>
      </w:r>
    </w:p>
    <w:p w14:paraId="020B240C" w14:textId="6E7937C5" w:rsidR="001621CA" w:rsidRDefault="001621CA" w:rsidP="00DC1938">
      <w:pPr>
        <w:pStyle w:val="TableFigureTitle"/>
      </w:pPr>
      <w:bookmarkStart w:id="70" w:name="_Ref199254869"/>
      <w:bookmarkStart w:id="71" w:name="_Toc199928255"/>
      <w:r>
        <w:t xml:space="preserve">Figure </w:t>
      </w:r>
      <w:r>
        <w:fldChar w:fldCharType="begin"/>
      </w:r>
      <w:r>
        <w:instrText xml:space="preserve"> SEQ Figure \* ARABIC </w:instrText>
      </w:r>
      <w:r>
        <w:fldChar w:fldCharType="separate"/>
      </w:r>
      <w:r>
        <w:rPr>
          <w:noProof/>
        </w:rPr>
        <w:t>11</w:t>
      </w:r>
      <w:r>
        <w:fldChar w:fldCharType="end"/>
      </w:r>
      <w:bookmarkEnd w:id="70"/>
      <w:r w:rsidR="008F3FCD">
        <w:t xml:space="preserve"> -</w:t>
      </w:r>
      <w:r>
        <w:t xml:space="preserve"> Example of limits on all 45 detector triplets (y-axis)</w:t>
      </w:r>
      <w:bookmarkEnd w:id="71"/>
    </w:p>
    <w:p w14:paraId="00AFE0A3" w14:textId="0BD40251" w:rsidR="008E6E91" w:rsidRDefault="008F3FCD" w:rsidP="008F3FCD">
      <w:pPr>
        <w:pStyle w:val="Heading3"/>
      </w:pPr>
      <w:r>
        <w:t xml:space="preserve"> </w:t>
      </w:r>
      <w:bookmarkStart w:id="72" w:name="_Ref199928457"/>
      <w:bookmarkStart w:id="73" w:name="_Toc199928651"/>
      <w:r w:rsidR="008E6E91">
        <w:t xml:space="preserve">Beryllium </w:t>
      </w:r>
      <w:r w:rsidR="008E6E91" w:rsidRPr="008F3FCD">
        <w:t>filter</w:t>
      </w:r>
      <w:r w:rsidR="003D41C5">
        <w:t>/radial collimator (</w:t>
      </w:r>
      <w:r w:rsidR="008E5B66">
        <w:t>2</w:t>
      </w:r>
      <w:r w:rsidR="003D41C5">
        <w:t xml:space="preserve"> days)</w:t>
      </w:r>
      <w:bookmarkEnd w:id="72"/>
      <w:bookmarkEnd w:id="73"/>
    </w:p>
    <w:p w14:paraId="2C22E435" w14:textId="3023B788" w:rsidR="00C53811" w:rsidRPr="00951805" w:rsidRDefault="00C53811" w:rsidP="00C53811">
      <w:pPr>
        <w:pBdr>
          <w:top w:val="single" w:sz="4" w:space="1" w:color="auto"/>
          <w:left w:val="single" w:sz="4" w:space="4" w:color="auto"/>
          <w:bottom w:val="single" w:sz="4" w:space="1" w:color="auto"/>
          <w:right w:val="single" w:sz="4" w:space="4" w:color="auto"/>
        </w:pBdr>
        <w:rPr>
          <w:b/>
          <w:bCs/>
        </w:rPr>
      </w:pPr>
      <w:r w:rsidRPr="00951805">
        <w:rPr>
          <w:b/>
          <w:bCs/>
        </w:rPr>
        <w:t xml:space="preserve">FBS: </w:t>
      </w:r>
      <w:r w:rsidRPr="00951805">
        <w:rPr>
          <w:b/>
          <w:bCs/>
        </w:rPr>
        <w:tab/>
        <w:t>ESS.NSS.H01.BIFRO.B01.V01 – Beryllium filter</w:t>
      </w:r>
    </w:p>
    <w:p w14:paraId="3E31458A" w14:textId="13EF0972" w:rsidR="003D41C5" w:rsidRDefault="003D41C5" w:rsidP="003D41C5">
      <w:r>
        <w:t xml:space="preserve">The beryllium filter is a combined beryllium filter and a radial collimator, consisting of 9 separate units as shown in the figure below.  </w:t>
      </w:r>
    </w:p>
    <w:p w14:paraId="59B1F8F7" w14:textId="77777777" w:rsidR="003D41C5" w:rsidRDefault="003D41C5" w:rsidP="003D41C5"/>
    <w:p w14:paraId="4E65A112" w14:textId="77777777" w:rsidR="003D41C5" w:rsidRDefault="003D41C5" w:rsidP="003D41C5">
      <w:pPr>
        <w:keepNext/>
      </w:pPr>
      <w:r>
        <w:rPr>
          <w:noProof/>
        </w:rPr>
        <w:drawing>
          <wp:inline distT="0" distB="0" distL="0" distR="0" wp14:anchorId="6E2D4636" wp14:editId="3B685923">
            <wp:extent cx="2141855" cy="1841500"/>
            <wp:effectExtent l="0" t="0" r="0" b="6350"/>
            <wp:docPr id="2012438178" name="Picture 6" descr="A window with orange bli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8178" name="Picture 6" descr="A window with orange blinds&#10;&#10;AI-generated content may be incorrec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1855" cy="1841500"/>
                    </a:xfrm>
                    <a:prstGeom prst="rect">
                      <a:avLst/>
                    </a:prstGeom>
                    <a:noFill/>
                    <a:ln>
                      <a:noFill/>
                    </a:ln>
                  </pic:spPr>
                </pic:pic>
              </a:graphicData>
            </a:graphic>
          </wp:inline>
        </w:drawing>
      </w:r>
      <w:r w:rsidRPr="003D41C5">
        <w:t xml:space="preserve"> </w:t>
      </w:r>
      <w:r>
        <w:rPr>
          <w:noProof/>
        </w:rPr>
        <w:drawing>
          <wp:inline distT="0" distB="0" distL="0" distR="0" wp14:anchorId="037B47DF" wp14:editId="7DA27F32">
            <wp:extent cx="3523839" cy="1700319"/>
            <wp:effectExtent l="0" t="0" r="635" b="0"/>
            <wp:docPr id="277400863" name="Picture 9" descr="A circular objec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00863" name="Picture 9" descr="A circular object with text on it&#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1731" cy="1713777"/>
                    </a:xfrm>
                    <a:prstGeom prst="rect">
                      <a:avLst/>
                    </a:prstGeom>
                    <a:noFill/>
                    <a:ln>
                      <a:noFill/>
                    </a:ln>
                  </pic:spPr>
                </pic:pic>
              </a:graphicData>
            </a:graphic>
          </wp:inline>
        </w:drawing>
      </w:r>
    </w:p>
    <w:p w14:paraId="3E518EA7" w14:textId="237B0E19" w:rsidR="003D41C5" w:rsidRDefault="003D41C5" w:rsidP="00DC1938">
      <w:pPr>
        <w:pStyle w:val="TableFigureTitle"/>
        <w:rPr>
          <w:noProof/>
        </w:rPr>
      </w:pPr>
      <w:bookmarkStart w:id="74" w:name="_Toc199928256"/>
      <w:r w:rsidRPr="00DC1938">
        <w:t>Figure</w:t>
      </w:r>
      <w:r>
        <w:t xml:space="preserve"> </w:t>
      </w:r>
      <w:r>
        <w:fldChar w:fldCharType="begin"/>
      </w:r>
      <w:r>
        <w:instrText xml:space="preserve"> SEQ Figure \* ARABIC </w:instrText>
      </w:r>
      <w:r>
        <w:fldChar w:fldCharType="separate"/>
      </w:r>
      <w:r w:rsidR="00DC1938">
        <w:rPr>
          <w:noProof/>
        </w:rPr>
        <w:t>12</w:t>
      </w:r>
      <w:r>
        <w:fldChar w:fldCharType="end"/>
      </w:r>
      <w:r w:rsidR="008F3FCD">
        <w:t xml:space="preserve"> -</w:t>
      </w:r>
      <w:r>
        <w:t xml:space="preserve"> (left) design of single filter unit. (Right) Assembly of 9 filter units</w:t>
      </w:r>
      <w:bookmarkEnd w:id="74"/>
    </w:p>
    <w:p w14:paraId="2A612F46" w14:textId="71167C23" w:rsidR="003D41C5" w:rsidRDefault="003D41C5" w:rsidP="003D41C5">
      <w:r>
        <w:t xml:space="preserve">Each </w:t>
      </w:r>
      <w:r w:rsidR="00AA11A3">
        <w:t>unit</w:t>
      </w:r>
      <w:r>
        <w:t xml:space="preserve"> is masked with B4C masks, supposed to prevent streaming outside the units. The validation of the filter consists of 4 steps</w:t>
      </w:r>
      <w:r w:rsidR="00805429">
        <w:t>:</w:t>
      </w:r>
    </w:p>
    <w:p w14:paraId="4F4E6E1B" w14:textId="44C5BBB7" w:rsidR="00805429" w:rsidRDefault="00805429" w:rsidP="00D23FD6">
      <w:pPr>
        <w:pStyle w:val="ListParagraph"/>
        <w:numPr>
          <w:ilvl w:val="0"/>
          <w:numId w:val="31"/>
        </w:numPr>
      </w:pPr>
      <w:r w:rsidRPr="00D71624">
        <w:rPr>
          <w:i/>
          <w:iCs/>
        </w:rPr>
        <w:t>Testing the acceptance height of the mask</w:t>
      </w:r>
      <w:r>
        <w:t xml:space="preserve">. Using a small 3x3x3 mm scatterer, select a Bragg peak at 4.04 Å, and scan the vertical sample position, confirming a reasonable scattering profile (lack of strong spurions), as the sample is translated out of the beam. This </w:t>
      </w:r>
      <w:r>
        <w:lastRenderedPageBreak/>
        <w:t>serves to confirm that the large copper mass in the Be-filter is not illuminated to a large degree</w:t>
      </w:r>
      <w:r w:rsidR="00D71624">
        <w:br/>
      </w:r>
    </w:p>
    <w:p w14:paraId="61A9FB16" w14:textId="70BF3B29" w:rsidR="00805429" w:rsidRDefault="00805429" w:rsidP="00D23FD6">
      <w:pPr>
        <w:pStyle w:val="ListParagraph"/>
        <w:numPr>
          <w:ilvl w:val="0"/>
          <w:numId w:val="31"/>
        </w:numPr>
      </w:pPr>
      <w:r>
        <w:t xml:space="preserve">Choosing a Bragg peak at 90 degree scattering angle and 135 degree scattering angle at 4.04Å, translate the small sample along the beam, </w:t>
      </w:r>
      <w:r w:rsidRPr="00D71624">
        <w:rPr>
          <w:i/>
          <w:iCs/>
        </w:rPr>
        <w:t xml:space="preserve">confirming the triangular acceptance function of the radial collimator. </w:t>
      </w:r>
      <w:r w:rsidR="00D71624">
        <w:rPr>
          <w:i/>
          <w:iCs/>
        </w:rPr>
        <w:br/>
      </w:r>
    </w:p>
    <w:p w14:paraId="610687EA" w14:textId="734D925F" w:rsidR="00805429" w:rsidRDefault="00805429" w:rsidP="00D23FD6">
      <w:pPr>
        <w:pStyle w:val="ListParagraph"/>
        <w:numPr>
          <w:ilvl w:val="0"/>
          <w:numId w:val="31"/>
        </w:numPr>
      </w:pPr>
      <w:r w:rsidRPr="001970B3">
        <w:rPr>
          <w:i/>
          <w:iCs/>
        </w:rPr>
        <w:t>Transmission of desired neutrons.</w:t>
      </w:r>
      <w:r>
        <w:t xml:space="preserve"> Choosing a Bragg peak at the five final energies, measure the Bragg peak intensity with and without filter (craning the filter out of the way). It is important that this test is done without attenuating the detectors</w:t>
      </w:r>
      <w:r w:rsidR="00D71624">
        <w:br/>
      </w:r>
    </w:p>
    <w:p w14:paraId="3CF1B772" w14:textId="41948698" w:rsidR="00805429" w:rsidRDefault="00805429" w:rsidP="00D23FD6">
      <w:pPr>
        <w:pStyle w:val="ListParagraph"/>
        <w:numPr>
          <w:ilvl w:val="0"/>
          <w:numId w:val="31"/>
        </w:numPr>
      </w:pPr>
      <w:r w:rsidRPr="001970B3">
        <w:rPr>
          <w:i/>
          <w:iCs/>
        </w:rPr>
        <w:t>Attenuation of undesired neutrons.</w:t>
      </w:r>
      <w:r>
        <w:t xml:space="preserve"> Choose a Bragg peak at 2.02 Å accepted by the 5.0 meV analysers. Measure the intensity of this Bragg peak with and without the filter. Again, the intensity the Bragg peak should be small. </w:t>
      </w:r>
    </w:p>
    <w:p w14:paraId="259C5EB2" w14:textId="7B8DEA28" w:rsidR="006D0909" w:rsidRDefault="00805429" w:rsidP="003D41C5">
      <w:r>
        <w:t>The two last tests should of course be combined.</w:t>
      </w:r>
    </w:p>
    <w:p w14:paraId="73B5A90B" w14:textId="77777777" w:rsidR="00263382" w:rsidRDefault="00263382" w:rsidP="008F3FCD">
      <w:pPr>
        <w:keepNext/>
        <w:jc w:val="center"/>
      </w:pPr>
      <w:r>
        <w:rPr>
          <w:noProof/>
        </w:rPr>
        <w:drawing>
          <wp:inline distT="0" distB="0" distL="0" distR="0" wp14:anchorId="44DF8635" wp14:editId="51CD771F">
            <wp:extent cx="6120765" cy="4326890"/>
            <wp:effectExtent l="0" t="0" r="0" b="0"/>
            <wp:docPr id="1026572624" name="Picture 4" descr="A diagram of a mathematical equ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72624" name="Picture 4" descr="A diagram of a mathematical equation&#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4326890"/>
                    </a:xfrm>
                    <a:prstGeom prst="rect">
                      <a:avLst/>
                    </a:prstGeom>
                    <a:noFill/>
                    <a:ln>
                      <a:noFill/>
                    </a:ln>
                  </pic:spPr>
                </pic:pic>
              </a:graphicData>
            </a:graphic>
          </wp:inline>
        </w:drawing>
      </w:r>
    </w:p>
    <w:p w14:paraId="45D97BE6" w14:textId="4C585024" w:rsidR="008A64BE" w:rsidRDefault="00263382" w:rsidP="008A64BE">
      <w:pPr>
        <w:pStyle w:val="TableFigureTitle"/>
      </w:pPr>
      <w:bookmarkStart w:id="75" w:name="_Ref197410724"/>
      <w:bookmarkStart w:id="76" w:name="_Toc199928257"/>
      <w:r>
        <w:t xml:space="preserve">Figure </w:t>
      </w:r>
      <w:r>
        <w:fldChar w:fldCharType="begin"/>
      </w:r>
      <w:r>
        <w:instrText xml:space="preserve"> SEQ Figure \* ARABIC </w:instrText>
      </w:r>
      <w:r>
        <w:fldChar w:fldCharType="separate"/>
      </w:r>
      <w:r w:rsidR="008A64BE">
        <w:rPr>
          <w:noProof/>
        </w:rPr>
        <w:t>13</w:t>
      </w:r>
      <w:r>
        <w:fldChar w:fldCharType="end"/>
      </w:r>
      <w:bookmarkEnd w:id="75"/>
      <w:r w:rsidR="008F3FCD">
        <w:t xml:space="preserve"> - </w:t>
      </w:r>
      <w:r>
        <w:t>Bifrost sample coordinate system</w:t>
      </w:r>
      <w:bookmarkEnd w:id="76"/>
    </w:p>
    <w:p w14:paraId="3038D977" w14:textId="77777777" w:rsidR="008A64BE" w:rsidRDefault="008A64BE">
      <w:pPr>
        <w:spacing w:after="0"/>
        <w:rPr>
          <w:rFonts w:eastAsiaTheme="majorEastAsia" w:cstheme="majorBidi"/>
          <w:bCs/>
          <w:i/>
        </w:rPr>
      </w:pPr>
      <w:r>
        <w:br w:type="page"/>
      </w:r>
    </w:p>
    <w:p w14:paraId="2337E1A9" w14:textId="43730FFB" w:rsidR="008E6E91" w:rsidRDefault="001970B3" w:rsidP="008F3FCD">
      <w:pPr>
        <w:pStyle w:val="Heading3"/>
        <w:rPr>
          <w:lang w:val="en-US"/>
        </w:rPr>
      </w:pPr>
      <w:bookmarkStart w:id="77" w:name="_Ref199928445"/>
      <w:bookmarkStart w:id="78" w:name="_Toc199928652"/>
      <w:r w:rsidRPr="008F3FCD">
        <w:lastRenderedPageBreak/>
        <w:t>Calibrating</w:t>
      </w:r>
      <w:r w:rsidRPr="00156711">
        <w:rPr>
          <w:lang w:val="en-US"/>
        </w:rPr>
        <w:t xml:space="preserve"> overall t</w:t>
      </w:r>
      <w:r w:rsidR="008E6E91" w:rsidRPr="00156711">
        <w:rPr>
          <w:lang w:val="en-US"/>
        </w:rPr>
        <w:t>ank scattering angle</w:t>
      </w:r>
      <w:r w:rsidR="00F93EE2" w:rsidRPr="00156711">
        <w:rPr>
          <w:lang w:val="en-US"/>
        </w:rPr>
        <w:t xml:space="preserve"> (BM5)</w:t>
      </w:r>
      <w:r w:rsidR="00FF3096" w:rsidRPr="00156711">
        <w:rPr>
          <w:lang w:val="en-US"/>
        </w:rPr>
        <w:t xml:space="preserve"> (</w:t>
      </w:r>
      <w:r w:rsidR="008E5B66">
        <w:rPr>
          <w:lang w:val="en-US"/>
        </w:rPr>
        <w:t>3</w:t>
      </w:r>
      <w:r w:rsidR="00FF3096" w:rsidRPr="00156711">
        <w:rPr>
          <w:lang w:val="en-US"/>
        </w:rPr>
        <w:t xml:space="preserve"> days)</w:t>
      </w:r>
      <w:r w:rsidR="00E76D02">
        <w:rPr>
          <w:lang w:val="en-US"/>
        </w:rPr>
        <w:t xml:space="preserve"> H</w:t>
      </w:r>
      <w:r w:rsidR="007D1400">
        <w:rPr>
          <w:lang w:val="en-US"/>
        </w:rPr>
        <w:t xml:space="preserve">igh level requirements </w:t>
      </w:r>
      <w:r w:rsidR="005461AA">
        <w:t>7, 8 and 9</w:t>
      </w:r>
      <w:bookmarkEnd w:id="77"/>
      <w:bookmarkEnd w:id="78"/>
      <w:r w:rsidR="005461AA">
        <w:rPr>
          <w:lang w:val="en-US"/>
        </w:rPr>
        <w:t xml:space="preserve"> </w:t>
      </w:r>
    </w:p>
    <w:p w14:paraId="18441E3C" w14:textId="36D994AD" w:rsidR="00C53811" w:rsidRPr="00951805" w:rsidRDefault="00C53811" w:rsidP="00C53811">
      <w:pPr>
        <w:pBdr>
          <w:top w:val="single" w:sz="4" w:space="1" w:color="auto"/>
          <w:left w:val="single" w:sz="4" w:space="4" w:color="auto"/>
          <w:bottom w:val="single" w:sz="4" w:space="1" w:color="auto"/>
          <w:right w:val="single" w:sz="4" w:space="4" w:color="auto"/>
        </w:pBdr>
        <w:rPr>
          <w:b/>
          <w:bCs/>
        </w:rPr>
      </w:pPr>
      <w:r w:rsidRPr="00951805">
        <w:rPr>
          <w:b/>
          <w:bCs/>
        </w:rPr>
        <w:t xml:space="preserve">FBS: </w:t>
      </w:r>
      <w:r w:rsidRPr="00951805">
        <w:rPr>
          <w:b/>
          <w:bCs/>
        </w:rPr>
        <w:tab/>
        <w:t>ESS.NSS.H01.BIFRO.B01.C02 – Detector tank</w:t>
      </w:r>
    </w:p>
    <w:p w14:paraId="21BCAAF0" w14:textId="7D6012CD" w:rsidR="00C53811" w:rsidRPr="00951805" w:rsidRDefault="00C53811" w:rsidP="00C53811">
      <w:pPr>
        <w:pBdr>
          <w:top w:val="single" w:sz="4" w:space="1" w:color="auto"/>
          <w:left w:val="single" w:sz="4" w:space="4" w:color="auto"/>
          <w:bottom w:val="single" w:sz="4" w:space="1" w:color="auto"/>
          <w:right w:val="single" w:sz="4" w:space="4" w:color="auto"/>
        </w:pBdr>
        <w:ind w:firstLine="720"/>
        <w:rPr>
          <w:b/>
          <w:bCs/>
        </w:rPr>
      </w:pPr>
      <w:r w:rsidRPr="00951805">
        <w:rPr>
          <w:b/>
          <w:bCs/>
        </w:rPr>
        <w:t>ESS.NSS.H01.BIFRO.B01.W01 – Detector tank motion carriage</w:t>
      </w:r>
    </w:p>
    <w:p w14:paraId="46FDA921" w14:textId="45DB36FF" w:rsidR="00F844F5" w:rsidRPr="00104CA6" w:rsidRDefault="00F844F5" w:rsidP="00C53811">
      <w:pPr>
        <w:pBdr>
          <w:top w:val="single" w:sz="4" w:space="1" w:color="auto"/>
          <w:left w:val="single" w:sz="4" w:space="4" w:color="auto"/>
          <w:bottom w:val="single" w:sz="4" w:space="1" w:color="auto"/>
          <w:right w:val="single" w:sz="4" w:space="4" w:color="auto"/>
        </w:pBdr>
        <w:ind w:firstLine="720"/>
        <w:rPr>
          <w:b/>
          <w:bCs/>
          <w:lang w:val="sv-SE"/>
        </w:rPr>
      </w:pPr>
      <w:r w:rsidRPr="00104CA6">
        <w:rPr>
          <w:b/>
          <w:bCs/>
          <w:lang w:val="sv-SE"/>
        </w:rPr>
        <w:t>ESS.NSS.H01.BIFRO.B01.B02 – Neutron analysers</w:t>
      </w:r>
    </w:p>
    <w:p w14:paraId="4DACD239" w14:textId="1F3451A3" w:rsidR="00951805" w:rsidRPr="00951805" w:rsidRDefault="00951805" w:rsidP="00C53811">
      <w:pPr>
        <w:pBdr>
          <w:top w:val="single" w:sz="4" w:space="1" w:color="auto"/>
          <w:left w:val="single" w:sz="4" w:space="4" w:color="auto"/>
          <w:bottom w:val="single" w:sz="4" w:space="1" w:color="auto"/>
          <w:right w:val="single" w:sz="4" w:space="4" w:color="auto"/>
        </w:pBdr>
        <w:ind w:firstLine="720"/>
        <w:rPr>
          <w:b/>
          <w:bCs/>
          <w:lang w:val="en-US"/>
        </w:rPr>
      </w:pPr>
      <w:r w:rsidRPr="00951805">
        <w:rPr>
          <w:b/>
          <w:bCs/>
        </w:rPr>
        <w:t>ESS.NSS.H01.BIFRO.A02.W01.W02</w:t>
      </w:r>
      <w:r>
        <w:rPr>
          <w:b/>
          <w:bCs/>
        </w:rPr>
        <w:t xml:space="preserve"> – Rotational sample stack</w:t>
      </w:r>
    </w:p>
    <w:p w14:paraId="1BEA152F" w14:textId="4A60EDFB" w:rsidR="00744D5B" w:rsidRDefault="00263382" w:rsidP="00A231DF">
      <w:r>
        <w:t xml:space="preserve">The coordinate system of the secondary spectrometer is defined relative to the sample position as shown </w:t>
      </w:r>
      <w:r w:rsidR="00AA11A3">
        <w:t>i</w:t>
      </w:r>
      <w:r>
        <w:t xml:space="preserve">n </w:t>
      </w:r>
      <w:r>
        <w:fldChar w:fldCharType="begin"/>
      </w:r>
      <w:r>
        <w:instrText xml:space="preserve"> REF _Ref197410724 \h </w:instrText>
      </w:r>
      <w:r>
        <w:fldChar w:fldCharType="separate"/>
      </w:r>
      <w:r w:rsidR="00AA11A3">
        <w:t xml:space="preserve">Figure </w:t>
      </w:r>
      <w:r w:rsidR="00AA11A3">
        <w:rPr>
          <w:noProof/>
        </w:rPr>
        <w:t>13</w:t>
      </w:r>
      <w:r>
        <w:fldChar w:fldCharType="end"/>
      </w:r>
      <w:r>
        <w:t xml:space="preserve">. </w:t>
      </w:r>
      <w:r w:rsidR="00A231DF">
        <w:t>The overall tank scattering angle should be calibrated with a powder sample, likely Al2O3</w:t>
      </w:r>
      <w:r w:rsidR="00744D5B">
        <w:t xml:space="preserve"> or YIG</w:t>
      </w:r>
      <w:r w:rsidR="00A231DF">
        <w:t xml:space="preserve">. The powder sample should be in a </w:t>
      </w:r>
      <w:r w:rsidR="00F93EE2">
        <w:t>2-3</w:t>
      </w:r>
      <w:r w:rsidR="00A231DF">
        <w:t xml:space="preserve"> mm capillary</w:t>
      </w:r>
      <w:r w:rsidR="00744D5B">
        <w:t>, and shielded with a B4C plate</w:t>
      </w:r>
    </w:p>
    <w:p w14:paraId="5746FD1E" w14:textId="50DF0648" w:rsidR="00F93EE2" w:rsidRDefault="00F93EE2" w:rsidP="00A231DF">
      <w:r>
        <w:t>The Bragg peak monitor, which is mounted outside the Be-filter, is a low pressure He-3 tube, which is about 1 % efficient. In front of this monitor, there is a space for a slit, which can be made to any size, with a positional precision of about 1 mm. One 2 mm slit should be put in front of the monitor, to define the scattering angle</w:t>
      </w:r>
      <w:r w:rsidR="00F83DC0">
        <w:t xml:space="preserve"> </w:t>
      </w:r>
      <w:r w:rsidR="00F83DC0" w:rsidRPr="00F83DC0">
        <w:rPr>
          <w:rFonts w:ascii="Calibri" w:hAnsi="Calibri" w:cs="Calibri"/>
        </w:rPr>
        <w:t>φ</w:t>
      </w:r>
      <w:r>
        <w:t xml:space="preserve"> to within 0.2 degrees, which is better than the angular resolution of the analyser/detector system, and better than the finest resolution we need from the divergence jaws.</w:t>
      </w:r>
    </w:p>
    <w:p w14:paraId="08C91501" w14:textId="615B1B81" w:rsidR="00F93EE2" w:rsidRDefault="00F93EE2" w:rsidP="00A231DF">
      <w:r>
        <w:t>For a specific tank rotation angle, the angle interval allowed by the slit, as compared to the incoming beam, might not be exactly the encoder value – a soft zero</w:t>
      </w:r>
      <w:r w:rsidR="001970B3">
        <w:t xml:space="preserve"> offset</w:t>
      </w:r>
      <w:r>
        <w:t xml:space="preserve"> might be needed. Recording a ToF spectrum of a powder diffraction pattern, using the Bragg peak monitor at the smallest possible PSC opening time, allows us to fit the spectrum. Since we know T</w:t>
      </w:r>
      <w:r w:rsidRPr="00156711">
        <w:rPr>
          <w:vertAlign w:val="subscript"/>
        </w:rPr>
        <w:t>0</w:t>
      </w:r>
      <w:r>
        <w:t xml:space="preserve"> (of the PSC), the flight path to the monitor and the lattice constants very well, we can fit the scattering angle of such a spectrum. This would be repeated for all divergence jaw settings for consistency, to check that the jaws </w:t>
      </w:r>
      <w:r w:rsidR="00E92BF5">
        <w:t>d</w:t>
      </w:r>
      <w:r>
        <w:t xml:space="preserve">o not alter the incident beam unit vector. </w:t>
      </w:r>
    </w:p>
    <w:p w14:paraId="32199985" w14:textId="77777777" w:rsidR="00343009" w:rsidRDefault="00343009" w:rsidP="008F3FCD">
      <w:pPr>
        <w:keepNext/>
        <w:jc w:val="center"/>
      </w:pPr>
      <w:r>
        <w:rPr>
          <w:noProof/>
        </w:rPr>
        <w:lastRenderedPageBreak/>
        <w:drawing>
          <wp:inline distT="0" distB="0" distL="0" distR="0" wp14:anchorId="23DB3C5E" wp14:editId="58BD78BF">
            <wp:extent cx="5945610" cy="4665016"/>
            <wp:effectExtent l="0" t="0" r="0" b="2540"/>
            <wp:docPr id="1250289649" name="Picture 2" descr="A screen 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9649" name="Picture 2" descr="A screen shot of a computer screen&#10;&#10;AI-generated content may be incorrect."/>
                    <pic:cNvPicPr/>
                  </pic:nvPicPr>
                  <pic:blipFill>
                    <a:blip r:embed="rId36"/>
                    <a:stretch>
                      <a:fillRect/>
                    </a:stretch>
                  </pic:blipFill>
                  <pic:spPr>
                    <a:xfrm>
                      <a:off x="0" y="0"/>
                      <a:ext cx="5965123" cy="4680326"/>
                    </a:xfrm>
                    <a:prstGeom prst="rect">
                      <a:avLst/>
                    </a:prstGeom>
                  </pic:spPr>
                </pic:pic>
              </a:graphicData>
            </a:graphic>
          </wp:inline>
        </w:drawing>
      </w:r>
    </w:p>
    <w:p w14:paraId="2E372FBD" w14:textId="5D0E67E9" w:rsidR="00343009" w:rsidRDefault="00343009" w:rsidP="000838E5">
      <w:pPr>
        <w:pStyle w:val="TableFigureTitle"/>
      </w:pPr>
      <w:bookmarkStart w:id="79" w:name="_Ref198279177"/>
      <w:bookmarkStart w:id="80" w:name="_Toc199928258"/>
      <w:r>
        <w:t xml:space="preserve">Figure </w:t>
      </w:r>
      <w:r>
        <w:fldChar w:fldCharType="begin"/>
      </w:r>
      <w:r>
        <w:instrText xml:space="preserve"> SEQ Figure \* ARABIC </w:instrText>
      </w:r>
      <w:r>
        <w:fldChar w:fldCharType="separate"/>
      </w:r>
      <w:r w:rsidR="00F23D1E">
        <w:rPr>
          <w:noProof/>
        </w:rPr>
        <w:t>14</w:t>
      </w:r>
      <w:r>
        <w:fldChar w:fldCharType="end"/>
      </w:r>
      <w:bookmarkEnd w:id="79"/>
      <w:r w:rsidR="008F3FCD">
        <w:t xml:space="preserve"> -</w:t>
      </w:r>
      <w:r>
        <w:t xml:space="preserve"> Scattering angle calibration methodology</w:t>
      </w:r>
      <w:r w:rsidR="00842076">
        <w:t xml:space="preserve">. The top view shows diagram of powder diffraction peaks in a scattering versus wavelength plot. Backscattering geometry gives more </w:t>
      </w:r>
      <w:r w:rsidR="000838E5">
        <w:t>well-defined</w:t>
      </w:r>
      <w:r w:rsidR="00842076">
        <w:t xml:space="preserve"> peaks</w:t>
      </w:r>
      <w:r w:rsidR="0063394B">
        <w:t xml:space="preserve"> and larger Q-range. Several </w:t>
      </w:r>
      <w:r w:rsidR="0063394B" w:rsidRPr="000838E5">
        <w:t>angles</w:t>
      </w:r>
      <w:r w:rsidR="0063394B">
        <w:t xml:space="preserve"> can be chose</w:t>
      </w:r>
      <w:r w:rsidR="008412D5">
        <w:t>n</w:t>
      </w:r>
      <w:bookmarkEnd w:id="80"/>
    </w:p>
    <w:p w14:paraId="295F6A42" w14:textId="106B2B52" w:rsidR="00E92BF5" w:rsidRDefault="00E92BF5" w:rsidP="00A231DF">
      <w:r>
        <w:t xml:space="preserve">Once we have an absolute </w:t>
      </w:r>
      <w:r w:rsidR="00156711">
        <w:t>tank scattering angle known</w:t>
      </w:r>
      <w:r>
        <w:t xml:space="preserve">, we can place a slit cylinder on the sample rotation stage, with 10 slits, the first 9 should be 10 degrees apart – corresponding to each of the analysers, and the last one should be </w:t>
      </w:r>
      <w:r w:rsidR="00156711">
        <w:t xml:space="preserve">separated from the other 9 to fit </w:t>
      </w:r>
      <w:r>
        <w:t>the Bragg peak monitor slit position. We can now scan this slit system using the sample rotation stage, until the 10</w:t>
      </w:r>
      <w:r w:rsidRPr="00E92BF5">
        <w:rPr>
          <w:vertAlign w:val="superscript"/>
        </w:rPr>
        <w:t>th</w:t>
      </w:r>
      <w:r>
        <w:t xml:space="preserve"> slit allow the known </w:t>
      </w:r>
      <w:r w:rsidR="00F83DC0" w:rsidRPr="00F83DC0">
        <w:rPr>
          <w:rFonts w:ascii="Calibri" w:hAnsi="Calibri" w:cs="Calibri"/>
        </w:rPr>
        <w:t>φ</w:t>
      </w:r>
      <w:r>
        <w:t xml:space="preserve"> to pass though the BM5 slit. </w:t>
      </w:r>
      <w:r w:rsidR="00343009">
        <w:t xml:space="preserve">See </w:t>
      </w:r>
      <w:r w:rsidR="00343009">
        <w:fldChar w:fldCharType="begin"/>
      </w:r>
      <w:r w:rsidR="00343009">
        <w:instrText xml:space="preserve"> REF _Ref198279177 \h </w:instrText>
      </w:r>
      <w:r w:rsidR="00343009">
        <w:fldChar w:fldCharType="separate"/>
      </w:r>
      <w:r w:rsidR="0000022D">
        <w:t xml:space="preserve">Figure </w:t>
      </w:r>
      <w:r w:rsidR="0000022D">
        <w:rPr>
          <w:noProof/>
        </w:rPr>
        <w:t>14</w:t>
      </w:r>
      <w:r w:rsidR="00343009">
        <w:fldChar w:fldCharType="end"/>
      </w:r>
      <w:r w:rsidR="008443FA">
        <w:t>.</w:t>
      </w:r>
    </w:p>
    <w:p w14:paraId="78A70158" w14:textId="3E98FCB0" w:rsidR="00F93EE2" w:rsidRDefault="00E92BF5" w:rsidP="00A231DF">
      <w:r>
        <w:t>We now know the absolute scattering angle of the 9 slits</w:t>
      </w:r>
      <w:r w:rsidR="00156711">
        <w:t>, regardless of rotation stage calibration</w:t>
      </w:r>
      <w:r>
        <w:t xml:space="preserve">. We can now change the sample to a small vanadium rod and can calibrate all analysers. </w:t>
      </w:r>
    </w:p>
    <w:p w14:paraId="374DB2D9" w14:textId="1699FF97" w:rsidR="00F93EE2" w:rsidRDefault="00E92BF5" w:rsidP="00A231DF">
      <w:r>
        <w:t>With these slits fixed, we can now scan the tank rotation, thereby scanning th</w:t>
      </w:r>
      <w:r w:rsidR="00263382">
        <w:t xml:space="preserve">ese narrow collimated peaks across the analyser, confirming the charge division to </w:t>
      </w:r>
      <w:r w:rsidR="00120252">
        <w:t xml:space="preserve">scattering angle conversion for all triplets. </w:t>
      </w:r>
    </w:p>
    <w:p w14:paraId="734EE813" w14:textId="267EEE2B" w:rsidR="008443FA" w:rsidRDefault="008443FA" w:rsidP="008443FA">
      <w:r>
        <w:t xml:space="preserve">First, we check the internal consistency of a triplet, by illuminating a line on the analyser and see a corresponding line in the charge division histogram for the triplet, like the McStas simulation shown in </w:t>
      </w:r>
      <w:r>
        <w:fldChar w:fldCharType="begin"/>
      </w:r>
      <w:r>
        <w:instrText xml:space="preserve"> REF _Ref197371455 \h </w:instrText>
      </w:r>
      <w:r>
        <w:fldChar w:fldCharType="separate"/>
      </w:r>
      <w:r w:rsidR="0000022D">
        <w:t xml:space="preserve">Figure </w:t>
      </w:r>
      <w:r w:rsidR="0000022D">
        <w:rPr>
          <w:noProof/>
        </w:rPr>
        <w:t>15</w:t>
      </w:r>
      <w:r>
        <w:fldChar w:fldCharType="end"/>
      </w:r>
      <w:r>
        <w:t xml:space="preserve">. </w:t>
      </w:r>
    </w:p>
    <w:p w14:paraId="352A271A" w14:textId="77777777" w:rsidR="008443FA" w:rsidRDefault="008443FA" w:rsidP="008443FA">
      <w:r>
        <w:t xml:space="preserve">The charge division result can then be tested to be consistent across the tube. If not, a calibration function needs to be implemented. If it is, the charge division has been calibrated. The length of </w:t>
      </w:r>
      <w:r>
        <w:lastRenderedPageBreak/>
        <w:t xml:space="preserve">the tubes have been confirmed at the FAT; and the corresponding scattering angle calibration will be described in a later section. </w:t>
      </w:r>
    </w:p>
    <w:p w14:paraId="2D2AD036" w14:textId="010D9405" w:rsidR="008443FA" w:rsidRDefault="008443FA" w:rsidP="008443FA">
      <w:pPr>
        <w:keepNext/>
      </w:pPr>
      <w:r>
        <w:rPr>
          <w:noProof/>
        </w:rPr>
        <w:drawing>
          <wp:inline distT="0" distB="0" distL="0" distR="0" wp14:anchorId="079C2EE4" wp14:editId="0929C761">
            <wp:extent cx="2895600" cy="2466041"/>
            <wp:effectExtent l="0" t="0" r="0" b="0"/>
            <wp:docPr id="1059336387" name="Picture 4" descr="A diagram of a ray of a l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336387" name="Picture 4" descr="A diagram of a ray of a light&#10;&#10;AI-generated content may be incorrect."/>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912825" cy="2480711"/>
                    </a:xfrm>
                    <a:prstGeom prst="rect">
                      <a:avLst/>
                    </a:prstGeom>
                  </pic:spPr>
                </pic:pic>
              </a:graphicData>
            </a:graphic>
          </wp:inline>
        </w:drawing>
      </w:r>
      <w:r w:rsidR="00E004FD">
        <w:rPr>
          <w:noProof/>
        </w:rPr>
        <w:drawing>
          <wp:inline distT="0" distB="0" distL="0" distR="0" wp14:anchorId="00F445FB" wp14:editId="35F6500E">
            <wp:extent cx="3204210" cy="4499610"/>
            <wp:effectExtent l="0" t="0" r="0" b="0"/>
            <wp:docPr id="329979622" name="Picture 4" descr="A diagram of a graph and 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79622" name="Picture 4" descr="A diagram of a graph and a diagram of a graph&#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4210" cy="4499610"/>
                    </a:xfrm>
                    <a:prstGeom prst="rect">
                      <a:avLst/>
                    </a:prstGeom>
                    <a:noFill/>
                    <a:ln>
                      <a:noFill/>
                    </a:ln>
                  </pic:spPr>
                </pic:pic>
              </a:graphicData>
            </a:graphic>
          </wp:inline>
        </w:drawing>
      </w:r>
    </w:p>
    <w:p w14:paraId="5E827132" w14:textId="521E96D3" w:rsidR="008443FA" w:rsidRDefault="008443FA" w:rsidP="008F3FCD">
      <w:pPr>
        <w:pStyle w:val="TableFigureTitle"/>
      </w:pPr>
      <w:bookmarkStart w:id="81" w:name="_Ref197371455"/>
      <w:bookmarkStart w:id="82" w:name="_Toc199928259"/>
      <w:r>
        <w:t xml:space="preserve">Figure </w:t>
      </w:r>
      <w:r>
        <w:fldChar w:fldCharType="begin"/>
      </w:r>
      <w:r>
        <w:instrText xml:space="preserve"> SEQ Figure \* ARABIC </w:instrText>
      </w:r>
      <w:r>
        <w:fldChar w:fldCharType="separate"/>
      </w:r>
      <w:r w:rsidR="008F3FCD">
        <w:rPr>
          <w:noProof/>
        </w:rPr>
        <w:t>15</w:t>
      </w:r>
      <w:r>
        <w:fldChar w:fldCharType="end"/>
      </w:r>
      <w:bookmarkEnd w:id="81"/>
      <w:r w:rsidR="008F3FCD">
        <w:t xml:space="preserve"> -</w:t>
      </w:r>
      <w:r>
        <w:t xml:space="preserve"> </w:t>
      </w:r>
      <w:r w:rsidR="00E004FD">
        <w:t xml:space="preserve">(left) </w:t>
      </w:r>
      <w:r>
        <w:t>Simulated intensity distribution on a detector triplet resulting from pencil-beam illumination of a single analyser. The mean value of the intensity on each tube should be at the same position.</w:t>
      </w:r>
      <w:r w:rsidR="00E004FD">
        <w:t xml:space="preserve"> (Right) Simulated full illumination of a detector bank, including the angle dependence of the final energy – subject to calibration.</w:t>
      </w:r>
      <w:bookmarkEnd w:id="82"/>
      <w:r w:rsidR="00E004FD">
        <w:t xml:space="preserve"> </w:t>
      </w:r>
    </w:p>
    <w:p w14:paraId="7542C001" w14:textId="4C88B0C7" w:rsidR="008443FA" w:rsidRDefault="008443FA" w:rsidP="00A231DF">
      <w:r>
        <w:t xml:space="preserve">Once the charge division has been calibrated, the absolute a4 position can be calibrated for the tube as well, confirming the edges of each analyser in terms of angle, rather than charge division. This will ensure that the position of each pixel is correctly transformed to scattering angle in the data reduction workflow. </w:t>
      </w:r>
    </w:p>
    <w:p w14:paraId="28524B93" w14:textId="768E367D" w:rsidR="004C42F8" w:rsidRDefault="004C42F8" w:rsidP="00A231DF">
      <w:pPr>
        <w:rPr>
          <w:i/>
          <w:iCs/>
        </w:rPr>
      </w:pPr>
      <w:r w:rsidRPr="00156711">
        <w:rPr>
          <w:i/>
          <w:iCs/>
        </w:rPr>
        <w:t xml:space="preserve">Once calibrated for scattering angle the 5.0 meV analysers should be able to measure a powder </w:t>
      </w:r>
      <w:r w:rsidR="00BB2893" w:rsidRPr="00156711">
        <w:rPr>
          <w:i/>
          <w:iCs/>
        </w:rPr>
        <w:t>spectrum and</w:t>
      </w:r>
      <w:r w:rsidRPr="00156711">
        <w:rPr>
          <w:i/>
          <w:iCs/>
        </w:rPr>
        <w:t xml:space="preserve"> reproduce the correct scattering angles across the bank. It may be necessary to move the tank to test all the analysers.</w:t>
      </w:r>
      <w:r w:rsidR="00156711">
        <w:rPr>
          <w:i/>
          <w:iCs/>
        </w:rPr>
        <w:t xml:space="preserve"> A powder spectrum correct in scattering angle to within 0.1 degrees is the success criterion</w:t>
      </w:r>
      <w:r w:rsidRPr="00156711">
        <w:rPr>
          <w:i/>
          <w:iCs/>
        </w:rPr>
        <w:t xml:space="preserve">  </w:t>
      </w:r>
    </w:p>
    <w:p w14:paraId="33E8FE81" w14:textId="4160A1B5" w:rsidR="00877D83" w:rsidRDefault="00877D83" w:rsidP="008F3FCD">
      <w:pPr>
        <w:pStyle w:val="Heading3"/>
      </w:pPr>
      <w:r>
        <w:t xml:space="preserve"> </w:t>
      </w:r>
      <w:bookmarkStart w:id="83" w:name="_Toc199928653"/>
      <w:r>
        <w:t>Ef calibration (2 days)</w:t>
      </w:r>
      <w:bookmarkEnd w:id="83"/>
    </w:p>
    <w:p w14:paraId="6AB7BC39" w14:textId="632AC5FE" w:rsidR="00877D83" w:rsidRPr="00877D83" w:rsidRDefault="00877D83" w:rsidP="00877D83">
      <w:r>
        <w:t>Using a known flat mode scatterer, we will calibrate Ef using the elastic line, and the two modes on the positive and negative energy transfer side.</w:t>
      </w:r>
      <w:r w:rsidR="00E004FD">
        <w:t xml:space="preserve"> The difference between the mode separation in energy reflects the difference in final energy across the detector bank. Using this measurement, including the elastic line, w</w:t>
      </w:r>
      <w:r>
        <w:t>e can then assign a final energy to each scattering angle pixel, which should</w:t>
      </w:r>
      <w:r w:rsidR="00E004FD">
        <w:t xml:space="preserve"> be dependent on detector position, see </w:t>
      </w:r>
      <w:r w:rsidR="00E004FD">
        <w:fldChar w:fldCharType="begin"/>
      </w:r>
      <w:r w:rsidR="00E004FD">
        <w:instrText xml:space="preserve"> REF _Ref197371455 \h </w:instrText>
      </w:r>
      <w:r w:rsidR="00E004FD">
        <w:fldChar w:fldCharType="separate"/>
      </w:r>
      <w:r w:rsidR="0000022D">
        <w:t xml:space="preserve">Figure </w:t>
      </w:r>
      <w:r w:rsidR="0000022D">
        <w:rPr>
          <w:noProof/>
        </w:rPr>
        <w:t>15</w:t>
      </w:r>
      <w:r w:rsidR="00E004FD">
        <w:fldChar w:fldCharType="end"/>
      </w:r>
      <w:r w:rsidR="00E004FD">
        <w:t xml:space="preserve">. </w:t>
      </w:r>
      <w:r>
        <w:t xml:space="preserve"> </w:t>
      </w:r>
    </w:p>
    <w:p w14:paraId="31D8E570" w14:textId="75EB1946" w:rsidR="008E6E91" w:rsidRDefault="008F3FCD" w:rsidP="008F3FCD">
      <w:pPr>
        <w:pStyle w:val="Heading3"/>
      </w:pPr>
      <w:r>
        <w:lastRenderedPageBreak/>
        <w:t xml:space="preserve"> </w:t>
      </w:r>
      <w:bookmarkStart w:id="84" w:name="_Toc199928654"/>
      <w:r w:rsidR="008E6E91" w:rsidRPr="008F3FCD">
        <w:t>Cross</w:t>
      </w:r>
      <w:r w:rsidR="008E6E91">
        <w:t xml:space="preserve"> talk shielding</w:t>
      </w:r>
      <w:r w:rsidR="004C5112">
        <w:t xml:space="preserve"> H</w:t>
      </w:r>
      <w:r w:rsidR="00DF0B83">
        <w:t xml:space="preserve">igh level requirement </w:t>
      </w:r>
      <w:r w:rsidR="004C5112" w:rsidRPr="004C5112">
        <w:t>12</w:t>
      </w:r>
      <w:bookmarkEnd w:id="84"/>
    </w:p>
    <w:p w14:paraId="4B7424C1" w14:textId="442FE51F" w:rsidR="00F844F5" w:rsidRPr="00F844F5" w:rsidRDefault="00F844F5" w:rsidP="00F844F5">
      <w:pPr>
        <w:pBdr>
          <w:top w:val="single" w:sz="4" w:space="1" w:color="auto"/>
          <w:left w:val="single" w:sz="4" w:space="4" w:color="auto"/>
          <w:bottom w:val="single" w:sz="4" w:space="1" w:color="auto"/>
          <w:right w:val="single" w:sz="4" w:space="4" w:color="auto"/>
        </w:pBdr>
      </w:pPr>
      <w:r>
        <w:t xml:space="preserve">FBS: </w:t>
      </w:r>
      <w:r>
        <w:tab/>
      </w:r>
      <w:r w:rsidRPr="00F844F5">
        <w:t>ESS.NSS.H01.BIFRO.B01.F01</w:t>
      </w:r>
      <w:r>
        <w:t xml:space="preserve"> – Cross talk shielding</w:t>
      </w:r>
    </w:p>
    <w:p w14:paraId="28AE468B" w14:textId="681405AE" w:rsidR="003D41C5" w:rsidRDefault="003D41C5" w:rsidP="003D41C5">
      <w:r>
        <w:t xml:space="preserve">The </w:t>
      </w:r>
      <w:r w:rsidR="00BB2893">
        <w:t>cross talk</w:t>
      </w:r>
      <w:r>
        <w:t xml:space="preserve"> shielding is difficult to test directly. One way of testing would be to make sure that a Bragg peak goes into a given channel, without being reflected by any of the analysers. This gives a background measurement with an intense neutron beam in the tank. Then one can change the angle slightly, and probe the same Bragg peak, albeit now with an energy matching one of the analysers. If the detectors </w:t>
      </w:r>
      <w:r w:rsidRPr="001A7FB4">
        <w:rPr>
          <w:i/>
        </w:rPr>
        <w:t>adjacent</w:t>
      </w:r>
      <w:r>
        <w:t xml:space="preserve"> to the channel in question have the same intensity as the background, the cross</w:t>
      </w:r>
      <w:r w:rsidR="00BB2893">
        <w:t xml:space="preserve"> </w:t>
      </w:r>
      <w:r>
        <w:t xml:space="preserve">talk </w:t>
      </w:r>
      <w:r w:rsidR="00725582">
        <w:t xml:space="preserve">shielding </w:t>
      </w:r>
      <w:r>
        <w:t>works</w:t>
      </w:r>
      <w:r w:rsidR="00274A4C">
        <w:t xml:space="preserve"> – this is the success criterion</w:t>
      </w:r>
      <w:r>
        <w:t>.</w:t>
      </w:r>
    </w:p>
    <w:p w14:paraId="68E6D9BE" w14:textId="7079B3C4" w:rsidR="008E6E91" w:rsidRDefault="007E2F0D" w:rsidP="007E2F0D">
      <w:pPr>
        <w:pStyle w:val="Heading3"/>
      </w:pPr>
      <w:r>
        <w:t xml:space="preserve"> </w:t>
      </w:r>
      <w:bookmarkStart w:id="85" w:name="_Toc199928655"/>
      <w:r w:rsidR="00335CA5">
        <w:t xml:space="preserve">Secondary spectrometer </w:t>
      </w:r>
      <w:r w:rsidR="00120252" w:rsidRPr="007E2F0D">
        <w:t>normalization</w:t>
      </w:r>
      <w:r w:rsidR="00CA373F">
        <w:t xml:space="preserve"> (</w:t>
      </w:r>
      <w:r w:rsidR="008E5B66">
        <w:t>2</w:t>
      </w:r>
      <w:r w:rsidR="00CA373F">
        <w:t xml:space="preserve"> days)</w:t>
      </w:r>
      <w:bookmarkEnd w:id="85"/>
    </w:p>
    <w:p w14:paraId="347028FB" w14:textId="5D63EF81" w:rsidR="00EC5830" w:rsidRPr="007E2F0D" w:rsidRDefault="004C42F8" w:rsidP="00EC5830">
      <w:pPr>
        <w:rPr>
          <w:rFonts w:cs="Segoe UI Historic"/>
        </w:rPr>
      </w:pPr>
      <w:r w:rsidRPr="007E2F0D">
        <w:rPr>
          <w:rFonts w:cs="Segoe UI Historic"/>
        </w:rPr>
        <w:t>For normalization we should use a small sample, residing well within the uniformly illuminated part of the beam spot</w:t>
      </w:r>
      <w:r w:rsidR="008B3994" w:rsidRPr="007E2F0D">
        <w:rPr>
          <w:rFonts w:cs="Segoe UI Historic"/>
        </w:rPr>
        <w:t xml:space="preserve"> – a cubic vanadium sample of 5 x 5 x 5 mm.</w:t>
      </w:r>
      <w:r w:rsidR="00D343B0" w:rsidRPr="007E2F0D">
        <w:rPr>
          <w:rFonts w:cs="Segoe UI Historic"/>
        </w:rPr>
        <w:t xml:space="preserve"> This will then uniformly illuminate an analyser bank.</w:t>
      </w:r>
      <w:r w:rsidR="008B3994" w:rsidRPr="007E2F0D">
        <w:rPr>
          <w:rFonts w:cs="Segoe UI Historic"/>
        </w:rPr>
        <w:t xml:space="preserve"> For a single analyser, the scattering angle seen by a single position on the detector tube is the following</w:t>
      </w:r>
    </w:p>
    <w:p w14:paraId="5214EA7B" w14:textId="7E4D8AE6" w:rsidR="008B3994" w:rsidRPr="007E2F0D" w:rsidRDefault="008B3994" w:rsidP="00EC5830">
      <w:pPr>
        <w:rPr>
          <w:rFonts w:cs="Segoe UI Historic"/>
        </w:rPr>
      </w:pPr>
      <w:r w:rsidRPr="007E2F0D">
        <w:rPr>
          <w:rFonts w:cs="Segoe UI Historic"/>
          <w:noProof/>
        </w:rPr>
        <w:drawing>
          <wp:inline distT="0" distB="0" distL="0" distR="0" wp14:anchorId="7E4E3A96" wp14:editId="724E9D63">
            <wp:extent cx="2697956" cy="694923"/>
            <wp:effectExtent l="0" t="0" r="7620" b="0"/>
            <wp:docPr id="732414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23981" cy="701626"/>
                    </a:xfrm>
                    <a:prstGeom prst="rect">
                      <a:avLst/>
                    </a:prstGeom>
                    <a:noFill/>
                    <a:ln>
                      <a:noFill/>
                    </a:ln>
                  </pic:spPr>
                </pic:pic>
              </a:graphicData>
            </a:graphic>
          </wp:inline>
        </w:drawing>
      </w:r>
    </w:p>
    <w:p w14:paraId="27A6EC19" w14:textId="32E83983" w:rsidR="008B3994" w:rsidRPr="007E2F0D" w:rsidRDefault="008B3994" w:rsidP="00EC5830">
      <w:pPr>
        <w:rPr>
          <w:rFonts w:cs="Segoe UI Historic"/>
        </w:rPr>
      </w:pPr>
      <w:r w:rsidRPr="007E2F0D">
        <w:rPr>
          <w:rFonts w:cs="Segoe UI Historic"/>
        </w:rPr>
        <w:t xml:space="preserve">Where s is the sample FWHM, d is the detector resolution (not pixel size), </w:t>
      </w:r>
      <w:r w:rsidRPr="007E2F0D">
        <w:rPr>
          <w:rFonts w:ascii="Calibri" w:hAnsi="Calibri" w:cs="Calibri"/>
        </w:rPr>
        <w:t>ξ</w:t>
      </w:r>
      <w:r w:rsidRPr="007E2F0D">
        <w:rPr>
          <w:rFonts w:cs="Segoe UI Historic"/>
        </w:rPr>
        <w:t xml:space="preserve"> is the analyser mosaicity,</w:t>
      </w:r>
      <w:r w:rsidR="00D343B0" w:rsidRPr="007E2F0D">
        <w:rPr>
          <w:rFonts w:cs="Segoe UI Historic"/>
        </w:rPr>
        <w:t xml:space="preserve"> </w:t>
      </w:r>
      <w:r w:rsidRPr="007E2F0D">
        <w:rPr>
          <w:rFonts w:ascii="Calibri" w:hAnsi="Calibri" w:cs="Calibri"/>
        </w:rPr>
        <w:t>θ</w:t>
      </w:r>
      <w:r w:rsidRPr="007E2F0D">
        <w:rPr>
          <w:rFonts w:cs="Segoe UI Historic"/>
          <w:vertAlign w:val="subscript"/>
        </w:rPr>
        <w:t xml:space="preserve">a </w:t>
      </w:r>
      <w:r w:rsidRPr="007E2F0D">
        <w:rPr>
          <w:rFonts w:cs="Segoe UI Historic"/>
        </w:rPr>
        <w:t>is the analyser take-off angle, while L</w:t>
      </w:r>
      <w:r w:rsidRPr="007E2F0D">
        <w:rPr>
          <w:rFonts w:cs="Segoe UI Historic"/>
          <w:vertAlign w:val="subscript"/>
        </w:rPr>
        <w:t>sa</w:t>
      </w:r>
      <w:r w:rsidRPr="007E2F0D">
        <w:rPr>
          <w:rFonts w:cs="Segoe UI Historic"/>
        </w:rPr>
        <w:t xml:space="preserve"> and L</w:t>
      </w:r>
      <w:r w:rsidRPr="007E2F0D">
        <w:rPr>
          <w:rFonts w:cs="Segoe UI Historic"/>
          <w:vertAlign w:val="subscript"/>
        </w:rPr>
        <w:t xml:space="preserve">ad </w:t>
      </w:r>
      <w:r w:rsidRPr="007E2F0D">
        <w:rPr>
          <w:rFonts w:cs="Segoe UI Historic"/>
        </w:rPr>
        <w:t>is the distance from sample to analyser and from analyser to detector</w:t>
      </w:r>
      <w:r w:rsidR="00D343B0" w:rsidRPr="007E2F0D">
        <w:rPr>
          <w:rFonts w:cs="Segoe UI Historic"/>
        </w:rPr>
        <w:t>,</w:t>
      </w:r>
      <w:r w:rsidRPr="007E2F0D">
        <w:rPr>
          <w:rFonts w:cs="Segoe UI Historic"/>
        </w:rPr>
        <w:t xml:space="preserve"> respectively.</w:t>
      </w:r>
      <w:r w:rsidR="00D343B0" w:rsidRPr="007E2F0D">
        <w:rPr>
          <w:rFonts w:cs="Segoe UI Historic"/>
        </w:rPr>
        <w:t xml:space="preserve"> Within a single analyser bank, there is a slight difference in geometry. For the analysers furthest away from the sample for instance, L</w:t>
      </w:r>
      <w:r w:rsidR="00D343B0" w:rsidRPr="007E2F0D">
        <w:rPr>
          <w:rFonts w:cs="Segoe UI Historic"/>
          <w:vertAlign w:val="subscript"/>
        </w:rPr>
        <w:t>sa</w:t>
      </w:r>
      <w:r w:rsidR="00D343B0" w:rsidRPr="007E2F0D">
        <w:rPr>
          <w:rFonts w:cs="Segoe UI Historic"/>
        </w:rPr>
        <w:t xml:space="preserve"> and the detector tubes are slight</w:t>
      </w:r>
      <w:r w:rsidR="00245CA8" w:rsidRPr="007E2F0D">
        <w:rPr>
          <w:rFonts w:cs="Segoe UI Historic"/>
        </w:rPr>
        <w:t>ly longer. A longer tube worsens the spatial resolution, so in the equation above, these two effects counteract each other to some extent.</w:t>
      </w:r>
    </w:p>
    <w:p w14:paraId="163EDE68" w14:textId="19E058DA" w:rsidR="00F37944" w:rsidRPr="007E2F0D" w:rsidRDefault="00E664B3" w:rsidP="00EC5830">
      <w:pPr>
        <w:rPr>
          <w:rFonts w:cs="Segoe UI Historic"/>
        </w:rPr>
      </w:pPr>
      <w:r w:rsidRPr="007E2F0D">
        <w:rPr>
          <w:rFonts w:cs="Segoe UI Historic"/>
        </w:rPr>
        <w:t>Within a single analyser arc, a single E</w:t>
      </w:r>
      <w:r w:rsidRPr="007E2F0D">
        <w:rPr>
          <w:rFonts w:cs="Segoe UI Historic"/>
          <w:vertAlign w:val="subscript"/>
        </w:rPr>
        <w:t>f</w:t>
      </w:r>
      <w:r w:rsidRPr="007E2F0D">
        <w:rPr>
          <w:rFonts w:cs="Segoe UI Historic"/>
        </w:rPr>
        <w:t>, the problem is thus that</w:t>
      </w:r>
      <w:r w:rsidR="00F37944" w:rsidRPr="007E2F0D">
        <w:rPr>
          <w:rFonts w:cs="Segoe UI Historic"/>
        </w:rPr>
        <w:t xml:space="preserve"> the pixels in</w:t>
      </w:r>
      <w:r w:rsidRPr="007E2F0D">
        <w:rPr>
          <w:rFonts w:cs="Segoe UI Historic"/>
        </w:rPr>
        <w:t xml:space="preserve"> </w:t>
      </w:r>
      <w:r w:rsidR="00F37944" w:rsidRPr="007E2F0D">
        <w:rPr>
          <w:rFonts w:cs="Segoe UI Historic"/>
        </w:rPr>
        <w:t xml:space="preserve">each distinct analyser geometry </w:t>
      </w:r>
      <w:r w:rsidRPr="007E2F0D">
        <w:rPr>
          <w:rFonts w:cs="Segoe UI Historic"/>
        </w:rPr>
        <w:t xml:space="preserve">sees </w:t>
      </w:r>
      <w:r w:rsidR="00F37944" w:rsidRPr="007E2F0D">
        <w:rPr>
          <w:rFonts w:cs="Segoe UI Historic"/>
        </w:rPr>
        <w:t xml:space="preserve">different </w:t>
      </w:r>
      <w:r w:rsidRPr="007E2F0D">
        <w:rPr>
          <w:rFonts w:cs="Segoe UI Historic"/>
        </w:rPr>
        <w:t xml:space="preserve">scattering spatial </w:t>
      </w:r>
      <w:r w:rsidR="005C4DF3" w:rsidRPr="007E2F0D">
        <w:rPr>
          <w:rFonts w:cs="Segoe UI Historic"/>
        </w:rPr>
        <w:t>angles and</w:t>
      </w:r>
      <w:r w:rsidRPr="007E2F0D">
        <w:rPr>
          <w:rFonts w:cs="Segoe UI Historic"/>
        </w:rPr>
        <w:t xml:space="preserve"> needs to be normalized accordingly. </w:t>
      </w:r>
      <w:r w:rsidR="00F37944" w:rsidRPr="007E2F0D">
        <w:rPr>
          <w:rFonts w:cs="Segoe UI Historic"/>
        </w:rPr>
        <w:t xml:space="preserve">The way we pixelate the detector tubes, every pixel represents the same scattering angle interval. </w:t>
      </w:r>
    </w:p>
    <w:p w14:paraId="028BE0A7" w14:textId="1C090CF9" w:rsidR="00F37944" w:rsidRPr="007E2F0D" w:rsidRDefault="00F37944" w:rsidP="00EC5830">
      <w:pPr>
        <w:rPr>
          <w:rFonts w:cs="Segoe UI Historic"/>
        </w:rPr>
      </w:pPr>
      <w:r w:rsidRPr="007E2F0D">
        <w:rPr>
          <w:rFonts w:cs="Segoe UI Historic"/>
        </w:rPr>
        <w:t>The pixels that receive scattering from a slightly smaller analyser area, probe a slightly smaller portion of the dispersion surface, and should therefore be weighted comparatively higher</w:t>
      </w:r>
      <w:r w:rsidR="00EC02FE" w:rsidRPr="007E2F0D">
        <w:rPr>
          <w:rFonts w:cs="Segoe UI Historic"/>
        </w:rPr>
        <w:t xml:space="preserve"> as a result.</w:t>
      </w:r>
      <w:r w:rsidR="008D192C" w:rsidRPr="007E2F0D">
        <w:rPr>
          <w:rFonts w:cs="Segoe UI Historic"/>
        </w:rPr>
        <w:t xml:space="preserve"> Therefore, normalizing all pixel to give the same intensity, for a single analyser arc, would be a good normalization starting point. </w:t>
      </w:r>
      <w:r w:rsidR="00EC02FE" w:rsidRPr="007E2F0D">
        <w:rPr>
          <w:rFonts w:cs="Segoe UI Historic"/>
        </w:rPr>
        <w:t xml:space="preserve"> </w:t>
      </w:r>
    </w:p>
    <w:p w14:paraId="04D535F0" w14:textId="1666241F" w:rsidR="002929B9" w:rsidRDefault="007E2F0D" w:rsidP="007E2F0D">
      <w:pPr>
        <w:pStyle w:val="Heading3"/>
      </w:pPr>
      <w:r>
        <w:t xml:space="preserve"> </w:t>
      </w:r>
      <w:bookmarkStart w:id="86" w:name="_Toc199928656"/>
      <w:r w:rsidR="000A61A1">
        <w:t xml:space="preserve">Sample </w:t>
      </w:r>
      <w:r w:rsidR="000A61A1" w:rsidRPr="007E2F0D">
        <w:t>environment</w:t>
      </w:r>
      <w:r w:rsidR="009E0453">
        <w:t xml:space="preserve"> </w:t>
      </w:r>
      <w:r w:rsidR="00BA6280">
        <w:t>(</w:t>
      </w:r>
      <w:r w:rsidR="008E5B66">
        <w:t>1</w:t>
      </w:r>
      <w:r w:rsidR="00BA6280">
        <w:t xml:space="preserve"> days)</w:t>
      </w:r>
      <w:bookmarkEnd w:id="86"/>
    </w:p>
    <w:p w14:paraId="58E9361E" w14:textId="1CE740EC" w:rsidR="00951805" w:rsidRPr="007011B3" w:rsidRDefault="007011B3" w:rsidP="007011B3">
      <w:pPr>
        <w:pBdr>
          <w:top w:val="single" w:sz="4" w:space="1" w:color="auto"/>
          <w:left w:val="single" w:sz="4" w:space="4" w:color="auto"/>
          <w:bottom w:val="single" w:sz="4" w:space="1" w:color="auto"/>
          <w:right w:val="single" w:sz="4" w:space="4" w:color="auto"/>
        </w:pBdr>
        <w:rPr>
          <w:b/>
          <w:bCs/>
        </w:rPr>
      </w:pPr>
      <w:r w:rsidRPr="007011B3">
        <w:rPr>
          <w:b/>
          <w:bCs/>
        </w:rPr>
        <w:t xml:space="preserve">FBS:  </w:t>
      </w:r>
      <w:r w:rsidRPr="007011B3">
        <w:rPr>
          <w:b/>
          <w:bCs/>
        </w:rPr>
        <w:tab/>
        <w:t>ESS.NSS.H01.BIFRO.A02.AS01 - Sample environment equipment</w:t>
      </w:r>
    </w:p>
    <w:p w14:paraId="04CDF622" w14:textId="2532249F" w:rsidR="008D192C" w:rsidRDefault="00855824" w:rsidP="002929B9">
      <w:r>
        <w:t>For all day-1 sample environments</w:t>
      </w:r>
      <w:r w:rsidR="00D312CB">
        <w:t>, the hot commissioning amounts to measuring an empty cryostat or cryomagnet, and record the ‘spectrum’ of spurions</w:t>
      </w:r>
      <w:r w:rsidR="008D192C">
        <w:t xml:space="preserve"> at 300 (30 mbar exchange gas) and 1.5 K (3 mbar exchange gas)</w:t>
      </w:r>
      <w:r w:rsidR="00F5402F">
        <w:t>.</w:t>
      </w:r>
    </w:p>
    <w:p w14:paraId="798AD6FE" w14:textId="71AE3FA0" w:rsidR="00F5402F" w:rsidRDefault="00F5402F" w:rsidP="002929B9">
      <w:r>
        <w:t xml:space="preserve">For the 15 T magnet, a normalization scan using a fixed and reproducible magnet position, should be performed. </w:t>
      </w:r>
    </w:p>
    <w:p w14:paraId="2B7B0A37"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7FF524B8"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4FB67191"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32E62D80"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2EE223A9"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7FD08874"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3D28F6DB" w14:textId="77777777" w:rsidR="009A07D0" w:rsidRPr="009A07D0" w:rsidRDefault="009A07D0" w:rsidP="00D23FD6">
      <w:pPr>
        <w:pStyle w:val="ListParagraph"/>
        <w:keepNext/>
        <w:numPr>
          <w:ilvl w:val="1"/>
          <w:numId w:val="38"/>
        </w:numPr>
        <w:tabs>
          <w:tab w:val="left" w:pos="992"/>
        </w:tabs>
        <w:spacing w:before="240" w:line="220" w:lineRule="atLeast"/>
        <w:contextualSpacing w:val="0"/>
        <w:outlineLvl w:val="1"/>
        <w:rPr>
          <w:rFonts w:asciiTheme="minorHAnsi" w:eastAsiaTheme="majorEastAsia" w:hAnsiTheme="minorHAnsi" w:cstheme="minorHAnsi"/>
          <w:b/>
          <w:bCs/>
          <w:vanish/>
          <w:szCs w:val="26"/>
          <w:lang w:val="en-US"/>
        </w:rPr>
      </w:pPr>
    </w:p>
    <w:p w14:paraId="4FE0FF99" w14:textId="77777777" w:rsidR="005C4DF3" w:rsidRDefault="005C4DF3">
      <w:pPr>
        <w:spacing w:after="0"/>
        <w:rPr>
          <w:rFonts w:eastAsiaTheme="majorEastAsia" w:cstheme="majorBidi"/>
          <w:b/>
          <w:bCs/>
          <w:szCs w:val="26"/>
          <w:lang w:val="en-US"/>
        </w:rPr>
      </w:pPr>
      <w:r>
        <w:rPr>
          <w:lang w:val="en-US"/>
        </w:rPr>
        <w:br w:type="page"/>
      </w:r>
    </w:p>
    <w:p w14:paraId="2A9484A2" w14:textId="4EBD5133" w:rsidR="003C37B7" w:rsidRPr="007E2F0D" w:rsidRDefault="003C37B7" w:rsidP="007E2F0D">
      <w:pPr>
        <w:pStyle w:val="Heading2"/>
        <w:numPr>
          <w:ilvl w:val="1"/>
          <w:numId w:val="38"/>
        </w:numPr>
        <w:rPr>
          <w:lang w:val="en-US"/>
        </w:rPr>
      </w:pPr>
      <w:bookmarkStart w:id="87" w:name="_Toc199928657"/>
      <w:r w:rsidRPr="007E2F0D">
        <w:rPr>
          <w:lang w:val="en-US"/>
        </w:rPr>
        <w:lastRenderedPageBreak/>
        <w:t xml:space="preserve">Benchmarking </w:t>
      </w:r>
      <w:r w:rsidRPr="007E2F0D">
        <w:t>experiments</w:t>
      </w:r>
      <w:bookmarkEnd w:id="87"/>
    </w:p>
    <w:p w14:paraId="2A6183AE" w14:textId="6123D7E6" w:rsidR="003C37B7" w:rsidRPr="008A4AD6" w:rsidRDefault="003C37B7" w:rsidP="003C37B7">
      <w:r>
        <w:t xml:space="preserve">Since diffraction tests have already been made during hot commissioning the benchmarking test refers only to inelastic measurements. We here focus on </w:t>
      </w:r>
      <w:r w:rsidR="00BF7743">
        <w:t>the</w:t>
      </w:r>
      <w:r>
        <w:t xml:space="preserve"> test cases outlined</w:t>
      </w:r>
      <w:r w:rsidR="00BF7743">
        <w:t xml:space="preserve"> below. </w:t>
      </w:r>
      <w:r w:rsidR="00BF7743">
        <w:br/>
      </w:r>
      <w:r w:rsidR="00BF7743">
        <w:br/>
        <w:t>NOTE: Some of these tests may not be necessary or might be performed with other samples, which could make this period more efficient.</w:t>
      </w:r>
      <w:r w:rsidR="00C43A52">
        <w:t xml:space="preserve"> Some of these tests are not completely necessary – if one can reproduce the complex dispersion mentioned at the end of this section, the rest might be moot. However, if that turns out to be a challenge, performing the whole set of benchmarking, </w:t>
      </w:r>
      <w:r w:rsidR="0071115D">
        <w:t>recalibrating,</w:t>
      </w:r>
      <w:r w:rsidR="00C43A52">
        <w:t xml:space="preserve"> when necessary, might be necessary. </w:t>
      </w:r>
      <w:r w:rsidR="00C43A52">
        <w:br/>
      </w:r>
      <w:r w:rsidR="00C43A52">
        <w:br/>
        <w:t xml:space="preserve">The goal of this phase is to determine what the instrument can and cannot reliably do, before start of user operation, in order to accommodate the community.  </w:t>
      </w:r>
      <w:r w:rsidR="00BF7743">
        <w:t xml:space="preserve"> </w:t>
      </w:r>
    </w:p>
    <w:p w14:paraId="7A057955" w14:textId="110E51CE" w:rsidR="003C37B7" w:rsidRDefault="005E6F6C" w:rsidP="005E6F6C">
      <w:pPr>
        <w:pStyle w:val="Heading3"/>
        <w:rPr>
          <w:lang w:val="en-US"/>
        </w:rPr>
      </w:pPr>
      <w:r>
        <w:t xml:space="preserve"> </w:t>
      </w:r>
      <w:bookmarkStart w:id="88" w:name="_Toc199928658"/>
      <w:r w:rsidR="003C37B7" w:rsidRPr="005E6F6C">
        <w:t>Elastic</w:t>
      </w:r>
      <w:r w:rsidR="003C37B7">
        <w:rPr>
          <w:lang w:val="en-US"/>
        </w:rPr>
        <w:t xml:space="preserve"> line</w:t>
      </w:r>
      <w:r w:rsidR="0055182C">
        <w:rPr>
          <w:lang w:val="en-US"/>
        </w:rPr>
        <w:t xml:space="preserve"> (2 hours)</w:t>
      </w:r>
      <w:bookmarkEnd w:id="88"/>
    </w:p>
    <w:p w14:paraId="3F0CAAE3" w14:textId="77777777" w:rsidR="003C37B7" w:rsidRPr="00C51C9A" w:rsidRDefault="003C37B7" w:rsidP="003C37B7">
      <w:pPr>
        <w:rPr>
          <w:lang w:val="en-US"/>
        </w:rPr>
      </w:pPr>
      <w:r>
        <w:rPr>
          <w:lang w:val="en-US"/>
        </w:rPr>
        <w:t>Check elastic linewidth as a function of PSC opening times, for all analyser arcs, and compare with simulations and calculatations</w:t>
      </w:r>
    </w:p>
    <w:p w14:paraId="6404ADCA" w14:textId="6D651377" w:rsidR="003C37B7" w:rsidRPr="004C5112" w:rsidRDefault="005E6F6C" w:rsidP="009A07D0">
      <w:pPr>
        <w:pStyle w:val="Heading3"/>
        <w:rPr>
          <w:lang w:val="en-US"/>
        </w:rPr>
      </w:pPr>
      <w:r>
        <w:rPr>
          <w:lang w:val="en-US"/>
        </w:rPr>
        <w:t xml:space="preserve"> </w:t>
      </w:r>
      <w:bookmarkStart w:id="89" w:name="_Toc199928659"/>
      <w:r w:rsidR="003C37B7" w:rsidRPr="004C5112">
        <w:rPr>
          <w:lang w:val="en-US"/>
        </w:rPr>
        <w:t>Flat modes – H</w:t>
      </w:r>
      <w:r w:rsidR="003C37B7">
        <w:rPr>
          <w:lang w:val="en-US"/>
        </w:rPr>
        <w:t xml:space="preserve">igh level requirements </w:t>
      </w:r>
      <w:r w:rsidR="003C37B7" w:rsidRPr="004C5112">
        <w:rPr>
          <w:lang w:val="en-US"/>
        </w:rPr>
        <w:t>1 and 11</w:t>
      </w:r>
      <w:bookmarkEnd w:id="89"/>
    </w:p>
    <w:p w14:paraId="228C0ABB" w14:textId="77777777" w:rsidR="003C37B7" w:rsidRPr="00032419" w:rsidRDefault="003C37B7" w:rsidP="003C37B7">
      <w:pPr>
        <w:rPr>
          <w:lang w:val="en-US"/>
        </w:rPr>
      </w:pPr>
      <w:r w:rsidRPr="00032419">
        <w:rPr>
          <w:lang w:val="en-US"/>
        </w:rPr>
        <w:t>Studying flat modes allows o</w:t>
      </w:r>
      <w:r>
        <w:rPr>
          <w:lang w:val="en-US"/>
        </w:rPr>
        <w:t>ne to test the energy transfer calculations for an entire detector bank, without worrying about understanding more complex dispersions. This is a first step towards more complex measurements. Since the dynamic range is so large, we need two separate tests with flat modes, below 10 meV and below 60 meV.</w:t>
      </w:r>
    </w:p>
    <w:p w14:paraId="7184746F" w14:textId="3FA8577A" w:rsidR="003C37B7" w:rsidRDefault="00B36E3C" w:rsidP="005E6F6C">
      <w:pPr>
        <w:pStyle w:val="Heading3"/>
      </w:pPr>
      <w:r>
        <w:t xml:space="preserve"> </w:t>
      </w:r>
      <w:bookmarkStart w:id="90" w:name="_Toc199928660"/>
      <w:r w:rsidRPr="005E6F6C">
        <w:t>Flat</w:t>
      </w:r>
      <w:r w:rsidR="003C37B7">
        <w:t xml:space="preserve"> modes below 10 meV</w:t>
      </w:r>
      <w:r w:rsidR="0055182C">
        <w:t xml:space="preserve"> (5 hours)</w:t>
      </w:r>
      <w:bookmarkEnd w:id="90"/>
    </w:p>
    <w:p w14:paraId="0173B1A0" w14:textId="4B9D4BFA" w:rsidR="003C37B7" w:rsidRPr="00032419" w:rsidRDefault="003C37B7" w:rsidP="003C37B7">
      <w:r>
        <w:t xml:space="preserve">For low energy modes, the </w:t>
      </w:r>
      <w:r w:rsidR="0071115D">
        <w:t>well-studied</w:t>
      </w:r>
      <w:r>
        <w:t xml:space="preserve"> quantum dipolar AFM system LiHoF</w:t>
      </w:r>
      <w:r w:rsidRPr="00032419">
        <w:rPr>
          <w:vertAlign w:val="subscript"/>
        </w:rPr>
        <w:t>4</w:t>
      </w:r>
      <w:r>
        <w:rPr>
          <w:vertAlign w:val="subscript"/>
        </w:rPr>
        <w:t xml:space="preserve"> </w:t>
      </w:r>
      <w:r>
        <w:t xml:space="preserve">would be useful. The modes are well separated. There is a strong signal, and we will study a diluted sample, where the moments interacts much </w:t>
      </w:r>
      <w:r w:rsidR="0071115D">
        <w:t>weaklier</w:t>
      </w:r>
      <w:r>
        <w:t xml:space="preserve">. Reproducing the well understood experiments at low energies would be a first step. </w:t>
      </w:r>
    </w:p>
    <w:p w14:paraId="4E71FECC" w14:textId="77777777" w:rsidR="003C37B7" w:rsidRDefault="003C37B7" w:rsidP="005E6F6C">
      <w:pPr>
        <w:keepNext/>
        <w:jc w:val="center"/>
      </w:pPr>
      <w:r>
        <w:rPr>
          <w:noProof/>
        </w:rPr>
        <w:lastRenderedPageBreak/>
        <w:drawing>
          <wp:inline distT="0" distB="0" distL="0" distR="0" wp14:anchorId="3C5B2635" wp14:editId="3D0E7C94">
            <wp:extent cx="2418366" cy="2522220"/>
            <wp:effectExtent l="0" t="0" r="1270" b="0"/>
            <wp:docPr id="1502871806" name="Picture 2"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871806" name="Picture 2" descr="A graph of a graph of a graph&#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31573" cy="2535994"/>
                    </a:xfrm>
                    <a:prstGeom prst="rect">
                      <a:avLst/>
                    </a:prstGeom>
                    <a:noFill/>
                    <a:ln>
                      <a:noFill/>
                    </a:ln>
                  </pic:spPr>
                </pic:pic>
              </a:graphicData>
            </a:graphic>
          </wp:inline>
        </w:drawing>
      </w:r>
    </w:p>
    <w:p w14:paraId="0648B061" w14:textId="31FE959D" w:rsidR="003C37B7" w:rsidRPr="00032419" w:rsidRDefault="003C37B7" w:rsidP="005E6F6C">
      <w:pPr>
        <w:pStyle w:val="TableFigureTitle"/>
      </w:pPr>
      <w:bookmarkStart w:id="91" w:name="_Toc199928260"/>
      <w:r>
        <w:t xml:space="preserve">Figure </w:t>
      </w:r>
      <w:r>
        <w:fldChar w:fldCharType="begin"/>
      </w:r>
      <w:r>
        <w:instrText xml:space="preserve"> SEQ Figure \* ARABIC </w:instrText>
      </w:r>
      <w:r>
        <w:fldChar w:fldCharType="separate"/>
      </w:r>
      <w:r w:rsidR="001621CA">
        <w:rPr>
          <w:noProof/>
        </w:rPr>
        <w:t>16</w:t>
      </w:r>
      <w:r>
        <w:fldChar w:fldCharType="end"/>
      </w:r>
      <w:r w:rsidR="005E6F6C">
        <w:t xml:space="preserve"> - </w:t>
      </w:r>
      <w:r>
        <w:t>Crystal field excitations of pure LiHoF4 below 10 meV</w:t>
      </w:r>
      <w:bookmarkEnd w:id="91"/>
    </w:p>
    <w:p w14:paraId="2DA33721" w14:textId="237FA8F7" w:rsidR="003C37B7" w:rsidRDefault="005E6F6C" w:rsidP="005E6F6C">
      <w:pPr>
        <w:pStyle w:val="Heading3"/>
      </w:pPr>
      <w:r>
        <w:t xml:space="preserve"> </w:t>
      </w:r>
      <w:bookmarkStart w:id="92" w:name="_Toc199928661"/>
      <w:r w:rsidR="003C37B7">
        <w:t xml:space="preserve">CEF </w:t>
      </w:r>
      <w:r w:rsidR="003C37B7" w:rsidRPr="005E6F6C">
        <w:t>modes</w:t>
      </w:r>
      <w:r w:rsidR="003C37B7">
        <w:t xml:space="preserve"> below 60 meV</w:t>
      </w:r>
      <w:r w:rsidR="0055182C">
        <w:t xml:space="preserve"> (1 day)</w:t>
      </w:r>
      <w:bookmarkEnd w:id="92"/>
    </w:p>
    <w:p w14:paraId="6986C82C" w14:textId="13F2BEAC" w:rsidR="003C37B7" w:rsidRPr="00300167" w:rsidRDefault="004A78B7" w:rsidP="00875504">
      <w:r>
        <w:t xml:space="preserve">At higher energies, we suggest to use C60, which have flat modes that cannot disperse. See </w:t>
      </w:r>
      <w:r>
        <w:fldChar w:fldCharType="begin"/>
      </w:r>
      <w:r>
        <w:instrText xml:space="preserve"> REF _Ref198218585 \h </w:instrText>
      </w:r>
      <w:r w:rsidR="00875504">
        <w:instrText xml:space="preserve"> \* MERGEFORMAT </w:instrText>
      </w:r>
      <w:r>
        <w:fldChar w:fldCharType="separate"/>
      </w:r>
      <w:r w:rsidR="00E50A75">
        <w:t xml:space="preserve">Figure </w:t>
      </w:r>
      <w:r w:rsidR="00E50A75">
        <w:rPr>
          <w:noProof/>
        </w:rPr>
        <w:t>17</w:t>
      </w:r>
      <w:r>
        <w:fldChar w:fldCharType="end"/>
      </w:r>
      <w:r>
        <w:t>.</w:t>
      </w:r>
    </w:p>
    <w:p w14:paraId="1F75FAAE" w14:textId="77777777" w:rsidR="004A78B7" w:rsidRDefault="003C37B7" w:rsidP="004A78B7">
      <w:pPr>
        <w:keepNext/>
      </w:pPr>
      <w:r>
        <w:rPr>
          <w:noProof/>
        </w:rPr>
        <w:drawing>
          <wp:inline distT="0" distB="0" distL="0" distR="0" wp14:anchorId="0D84E03E" wp14:editId="5EF7D5E6">
            <wp:extent cx="6113780" cy="2290445"/>
            <wp:effectExtent l="0" t="0" r="1270" b="0"/>
            <wp:docPr id="403696438" name="Picture 2" descr="A close-up of several images of a heat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96438" name="Picture 2" descr="A close-up of several images of a heat wav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3780" cy="2290445"/>
                    </a:xfrm>
                    <a:prstGeom prst="rect">
                      <a:avLst/>
                    </a:prstGeom>
                    <a:noFill/>
                    <a:ln>
                      <a:noFill/>
                    </a:ln>
                  </pic:spPr>
                </pic:pic>
              </a:graphicData>
            </a:graphic>
          </wp:inline>
        </w:drawing>
      </w:r>
    </w:p>
    <w:p w14:paraId="6E909F5B" w14:textId="018F02D1" w:rsidR="003C37B7" w:rsidRDefault="004A78B7" w:rsidP="00875504">
      <w:pPr>
        <w:pStyle w:val="TableFigureTitle"/>
      </w:pPr>
      <w:bookmarkStart w:id="93" w:name="_Ref198218585"/>
      <w:bookmarkStart w:id="94" w:name="_Toc199928261"/>
      <w:r>
        <w:t xml:space="preserve">Figure </w:t>
      </w:r>
      <w:r>
        <w:fldChar w:fldCharType="begin"/>
      </w:r>
      <w:r>
        <w:instrText xml:space="preserve"> SEQ Figure \* ARABIC </w:instrText>
      </w:r>
      <w:r>
        <w:fldChar w:fldCharType="separate"/>
      </w:r>
      <w:r w:rsidR="001621CA">
        <w:rPr>
          <w:noProof/>
        </w:rPr>
        <w:t>17</w:t>
      </w:r>
      <w:r>
        <w:fldChar w:fldCharType="end"/>
      </w:r>
      <w:bookmarkEnd w:id="93"/>
      <w:r w:rsidR="005E6F6C">
        <w:t xml:space="preserve"> -</w:t>
      </w:r>
      <w:r>
        <w:t xml:space="preserve"> Flat modes in C60</w:t>
      </w:r>
      <w:bookmarkEnd w:id="94"/>
    </w:p>
    <w:p w14:paraId="1D2DF25E" w14:textId="7967C510" w:rsidR="003C37B7" w:rsidRDefault="004A78B7" w:rsidP="00875504">
      <w:pPr>
        <w:pStyle w:val="Heading3"/>
        <w:rPr>
          <w:lang w:val="en-US"/>
        </w:rPr>
      </w:pPr>
      <w:r>
        <w:rPr>
          <w:lang w:val="en-US"/>
        </w:rPr>
        <w:t xml:space="preserve"> </w:t>
      </w:r>
      <w:bookmarkStart w:id="95" w:name="_Toc199928662"/>
      <w:r>
        <w:rPr>
          <w:lang w:val="en-US"/>
        </w:rPr>
        <w:t>F</w:t>
      </w:r>
      <w:r w:rsidR="003C37B7" w:rsidRPr="00C51C9A">
        <w:rPr>
          <w:lang w:val="en-US"/>
        </w:rPr>
        <w:t xml:space="preserve">lat </w:t>
      </w:r>
      <w:r w:rsidR="003C37B7" w:rsidRPr="00875504">
        <w:t>modes</w:t>
      </w:r>
      <w:r w:rsidR="003C37B7" w:rsidRPr="00C51C9A">
        <w:rPr>
          <w:lang w:val="en-US"/>
        </w:rPr>
        <w:t xml:space="preserve"> at low energy: </w:t>
      </w:r>
      <w:r w:rsidR="003C37B7" w:rsidRPr="00C51C9A">
        <w:rPr>
          <w:rFonts w:hint="eastAsia"/>
          <w:lang w:val="da-DK"/>
        </w:rPr>
        <w:t>γ</w:t>
      </w:r>
      <w:r w:rsidR="003C37B7" w:rsidRPr="00C51C9A">
        <w:rPr>
          <w:rFonts w:hint="eastAsia"/>
          <w:lang w:val="en-US"/>
        </w:rPr>
        <w:t>-picoline-N-oxide</w:t>
      </w:r>
      <w:r w:rsidR="003C37B7">
        <w:rPr>
          <w:lang w:val="en-US"/>
        </w:rPr>
        <w:t xml:space="preserve">. High level requirement </w:t>
      </w:r>
      <w:r w:rsidR="003C37B7" w:rsidRPr="00547ED3">
        <w:rPr>
          <w:lang w:val="en-US"/>
        </w:rPr>
        <w:t>2</w:t>
      </w:r>
      <w:r w:rsidR="0055182C">
        <w:rPr>
          <w:lang w:val="en-US"/>
        </w:rPr>
        <w:t xml:space="preserve"> (1 day)</w:t>
      </w:r>
      <w:bookmarkEnd w:id="95"/>
    </w:p>
    <w:p w14:paraId="06B7B55A" w14:textId="77777777" w:rsidR="003C37B7" w:rsidRDefault="003C37B7" w:rsidP="003C37B7">
      <w:pPr>
        <w:rPr>
          <w:lang w:val="en-US"/>
        </w:rPr>
      </w:pPr>
      <w:r>
        <w:rPr>
          <w:lang w:val="en-US"/>
        </w:rPr>
        <w:t>Once the energy transfer has been confirmed to be correctly calculated, we can test the resolution on flat modes at very low energy transfer. For the low energy transfers, determining the energy resolution with high precision, on a sample free of line broadening, becomes crucial. We propose to use</w:t>
      </w:r>
      <w:r w:rsidRPr="00C51C9A">
        <w:rPr>
          <w:rFonts w:hint="eastAsia"/>
          <w:lang w:val="en-US"/>
        </w:rPr>
        <w:t>γ</w:t>
      </w:r>
      <w:r w:rsidRPr="00C51C9A">
        <w:rPr>
          <w:rFonts w:hint="eastAsia"/>
          <w:lang w:val="en-US"/>
        </w:rPr>
        <w:t>-picoline-N-oxide</w:t>
      </w:r>
      <w:r>
        <w:rPr>
          <w:lang w:val="en-US"/>
        </w:rPr>
        <w:t xml:space="preserve">, as used on BATS: </w:t>
      </w:r>
      <w:hyperlink r:id="rId42" w:history="1">
        <w:r w:rsidRPr="004A20BB">
          <w:rPr>
            <w:rStyle w:val="Hyperlink"/>
            <w:lang w:val="en-US"/>
          </w:rPr>
          <w:t>https://www.sciencedirect.com/science/article/pii/S0921452618307804</w:t>
        </w:r>
      </w:hyperlink>
    </w:p>
    <w:p w14:paraId="50B4EFD2" w14:textId="77777777" w:rsidR="003C37B7" w:rsidRDefault="003C37B7" w:rsidP="00875504">
      <w:pPr>
        <w:keepNext/>
        <w:jc w:val="center"/>
      </w:pPr>
      <w:r>
        <w:rPr>
          <w:noProof/>
          <w:lang w:val="en-US"/>
        </w:rPr>
        <w:lastRenderedPageBreak/>
        <w:drawing>
          <wp:inline distT="0" distB="0" distL="0" distR="0" wp14:anchorId="0E046592" wp14:editId="59B94391">
            <wp:extent cx="5104956" cy="1895158"/>
            <wp:effectExtent l="0" t="0" r="635" b="0"/>
            <wp:docPr id="85411274" name="Picture 6"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517216" name="Picture 6" descr="A graph of a graph&#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8003" cy="1896289"/>
                    </a:xfrm>
                    <a:prstGeom prst="rect">
                      <a:avLst/>
                    </a:prstGeom>
                    <a:noFill/>
                    <a:ln>
                      <a:noFill/>
                    </a:ln>
                  </pic:spPr>
                </pic:pic>
              </a:graphicData>
            </a:graphic>
          </wp:inline>
        </w:drawing>
      </w:r>
    </w:p>
    <w:p w14:paraId="486138FC" w14:textId="1EE4862B" w:rsidR="003C37B7" w:rsidRDefault="003C37B7" w:rsidP="00875504">
      <w:pPr>
        <w:pStyle w:val="TableFigureTitle"/>
      </w:pPr>
      <w:bookmarkStart w:id="96" w:name="_Toc199928262"/>
      <w:r>
        <w:t xml:space="preserve">Figure </w:t>
      </w:r>
      <w:r>
        <w:fldChar w:fldCharType="begin"/>
      </w:r>
      <w:r>
        <w:instrText xml:space="preserve"> SEQ Figure \* ARABIC </w:instrText>
      </w:r>
      <w:r>
        <w:fldChar w:fldCharType="separate"/>
      </w:r>
      <w:r w:rsidR="001621CA">
        <w:rPr>
          <w:noProof/>
        </w:rPr>
        <w:t>18</w:t>
      </w:r>
      <w:r>
        <w:fldChar w:fldCharType="end"/>
      </w:r>
      <w:r w:rsidR="00875504">
        <w:t xml:space="preserve"> -</w:t>
      </w:r>
      <w:r>
        <w:t xml:space="preserve"> Figure from the IN16 BATS commissioning paper</w:t>
      </w:r>
      <w:bookmarkEnd w:id="96"/>
    </w:p>
    <w:p w14:paraId="54D3F263" w14:textId="77777777" w:rsidR="003C37B7" w:rsidRPr="00032419" w:rsidRDefault="003C37B7" w:rsidP="003C37B7">
      <w:r>
        <w:t xml:space="preserve">Using this compound, the linewidths are so far below the energy resolution minimum of BIFROST, which is 20 ueV, that we can effectively benchmark the performance near the elastic line using this compound – without worrying about line broadening obscuring the test results. </w:t>
      </w:r>
    </w:p>
    <w:p w14:paraId="6206ADCF" w14:textId="6966B0E4" w:rsidR="003C37B7" w:rsidRDefault="00B36E3C" w:rsidP="00875504">
      <w:pPr>
        <w:pStyle w:val="Heading3"/>
        <w:rPr>
          <w:lang w:val="en-US"/>
        </w:rPr>
      </w:pPr>
      <w:r>
        <w:rPr>
          <w:lang w:val="en-US"/>
        </w:rPr>
        <w:t xml:space="preserve"> </w:t>
      </w:r>
      <w:bookmarkStart w:id="97" w:name="_Toc199928663"/>
      <w:r w:rsidR="003C37B7" w:rsidRPr="00875504">
        <w:t>Dispersion</w:t>
      </w:r>
      <w:r w:rsidR="003C37B7">
        <w:rPr>
          <w:lang w:val="en-US"/>
        </w:rPr>
        <w:t>: W</w:t>
      </w:r>
      <w:r w:rsidR="003C37B7" w:rsidRPr="008A4AD6">
        <w:rPr>
          <w:lang w:val="en-US"/>
        </w:rPr>
        <w:t>ell</w:t>
      </w:r>
      <w:r>
        <w:rPr>
          <w:lang w:val="en-US"/>
        </w:rPr>
        <w:t>-</w:t>
      </w:r>
      <w:r w:rsidR="003C37B7" w:rsidRPr="008A4AD6">
        <w:rPr>
          <w:lang w:val="en-US"/>
        </w:rPr>
        <w:t>known simple system</w:t>
      </w:r>
      <w:r w:rsidR="0055182C">
        <w:rPr>
          <w:lang w:val="en-US"/>
        </w:rPr>
        <w:t xml:space="preserve"> (2 days)</w:t>
      </w:r>
      <w:bookmarkEnd w:id="97"/>
    </w:p>
    <w:p w14:paraId="3546C2FB" w14:textId="7F1A10A9" w:rsidR="003C37B7" w:rsidRPr="00B618D0" w:rsidRDefault="003C37B7" w:rsidP="003C37B7">
      <w:pPr>
        <w:rPr>
          <w:lang w:val="en-US"/>
        </w:rPr>
      </w:pPr>
      <w:r>
        <w:rPr>
          <w:lang w:val="en-US"/>
        </w:rPr>
        <w:t xml:space="preserve">For a check of the data reduction and verifying our understanding of the scattering angles and the instrument in general, we aim to perform a measurement of a </w:t>
      </w:r>
      <w:r w:rsidR="0071115D">
        <w:rPr>
          <w:lang w:val="en-US"/>
        </w:rPr>
        <w:t>well-known</w:t>
      </w:r>
      <w:r>
        <w:rPr>
          <w:lang w:val="en-US"/>
        </w:rPr>
        <w:t xml:space="preserve"> system, studied and confirmed on many spectrometers. At low energy resolution, there is no better system than MnF2, which has been studied on TAS, ToF and spin echo machines. Since this system has been a candidate for altermagnetism, it has even been studied recently, for instance on CAMEA, see</w:t>
      </w:r>
      <w:r w:rsidR="001F77BB">
        <w:rPr>
          <w:lang w:val="en-US"/>
        </w:rPr>
        <w:t xml:space="preserve"> </w:t>
      </w:r>
      <w:r w:rsidR="001F77BB">
        <w:rPr>
          <w:lang w:val="en-US"/>
        </w:rPr>
        <w:fldChar w:fldCharType="begin"/>
      </w:r>
      <w:r w:rsidR="001F77BB">
        <w:rPr>
          <w:lang w:val="en-US"/>
        </w:rPr>
        <w:instrText xml:space="preserve"> REF _Ref199927061 \h </w:instrText>
      </w:r>
      <w:r w:rsidR="001F77BB">
        <w:rPr>
          <w:lang w:val="en-US"/>
        </w:rPr>
      </w:r>
      <w:r w:rsidR="001F77BB">
        <w:rPr>
          <w:lang w:val="en-US"/>
        </w:rPr>
        <w:fldChar w:fldCharType="separate"/>
      </w:r>
      <w:r w:rsidR="0000022D">
        <w:t xml:space="preserve">Figure </w:t>
      </w:r>
      <w:r w:rsidR="0000022D">
        <w:rPr>
          <w:noProof/>
        </w:rPr>
        <w:t>19</w:t>
      </w:r>
      <w:r w:rsidR="001F77BB">
        <w:rPr>
          <w:lang w:val="en-US"/>
        </w:rPr>
        <w:fldChar w:fldCharType="end"/>
      </w:r>
      <w:r>
        <w:rPr>
          <w:lang w:val="en-US"/>
        </w:rPr>
        <w:t xml:space="preserve">. </w:t>
      </w:r>
    </w:p>
    <w:p w14:paraId="76B2D66C" w14:textId="77777777" w:rsidR="003C37B7" w:rsidRDefault="003C37B7" w:rsidP="003C37B7">
      <w:pPr>
        <w:keepNext/>
        <w:jc w:val="center"/>
      </w:pPr>
      <w:r>
        <w:rPr>
          <w:noProof/>
        </w:rPr>
        <w:drawing>
          <wp:inline distT="0" distB="0" distL="0" distR="0" wp14:anchorId="3361EDFD" wp14:editId="4EF3D45B">
            <wp:extent cx="2427254" cy="3182450"/>
            <wp:effectExtent l="0" t="0" r="0" b="0"/>
            <wp:docPr id="191603669" name="Picture 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88054" name="Picture 8" descr="A diagram of a graph&#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34681" cy="3192188"/>
                    </a:xfrm>
                    <a:prstGeom prst="rect">
                      <a:avLst/>
                    </a:prstGeom>
                    <a:noFill/>
                    <a:ln>
                      <a:noFill/>
                    </a:ln>
                  </pic:spPr>
                </pic:pic>
              </a:graphicData>
            </a:graphic>
          </wp:inline>
        </w:drawing>
      </w:r>
    </w:p>
    <w:p w14:paraId="45D8D2C3" w14:textId="360621DD" w:rsidR="003C37B7" w:rsidRDefault="003C37B7" w:rsidP="00875504">
      <w:pPr>
        <w:pStyle w:val="TableFigureTitle"/>
      </w:pPr>
      <w:bookmarkStart w:id="98" w:name="_Ref199927061"/>
      <w:bookmarkStart w:id="99" w:name="_Toc199928263"/>
      <w:r>
        <w:t xml:space="preserve">Figure </w:t>
      </w:r>
      <w:r>
        <w:fldChar w:fldCharType="begin"/>
      </w:r>
      <w:r>
        <w:instrText xml:space="preserve"> SEQ Figure \* ARABIC </w:instrText>
      </w:r>
      <w:r>
        <w:fldChar w:fldCharType="separate"/>
      </w:r>
      <w:r w:rsidR="001621CA">
        <w:rPr>
          <w:noProof/>
        </w:rPr>
        <w:t>19</w:t>
      </w:r>
      <w:r>
        <w:fldChar w:fldCharType="end"/>
      </w:r>
      <w:bookmarkEnd w:id="98"/>
      <w:r w:rsidR="00875504">
        <w:t xml:space="preserve"> -</w:t>
      </w:r>
      <w:r>
        <w:t xml:space="preserve"> CAMEA measurements of the dispersion relation of MnF</w:t>
      </w:r>
      <w:r w:rsidRPr="00521AE4">
        <w:rPr>
          <w:vertAlign w:val="subscript"/>
        </w:rPr>
        <w:t>2</w:t>
      </w:r>
      <w:r>
        <w:t xml:space="preserve"> where mode splitting has been disproven down to the measurement limit</w:t>
      </w:r>
      <w:bookmarkEnd w:id="99"/>
    </w:p>
    <w:p w14:paraId="2A1A617A" w14:textId="77777777" w:rsidR="003C37B7" w:rsidRDefault="003C37B7" w:rsidP="003C37B7">
      <w:r>
        <w:t xml:space="preserve">The aim of this measurement is to confirm the dispersion relation at low resolution, making sure that the instrument geometry producing S(Q, w) is well understood. </w:t>
      </w:r>
    </w:p>
    <w:p w14:paraId="511A489B" w14:textId="17400D46" w:rsidR="003C37B7" w:rsidRDefault="00875504" w:rsidP="009A07D0">
      <w:pPr>
        <w:pStyle w:val="Heading3"/>
        <w:rPr>
          <w:lang w:val="en-US"/>
        </w:rPr>
      </w:pPr>
      <w:r>
        <w:rPr>
          <w:lang w:val="en-US"/>
        </w:rPr>
        <w:lastRenderedPageBreak/>
        <w:t xml:space="preserve"> </w:t>
      </w:r>
      <w:bookmarkStart w:id="100" w:name="_Toc199928664"/>
      <w:r w:rsidR="003C37B7">
        <w:rPr>
          <w:lang w:val="en-US"/>
        </w:rPr>
        <w:t>Intensity and normalization check</w:t>
      </w:r>
      <w:r w:rsidR="0055182C">
        <w:rPr>
          <w:lang w:val="en-US"/>
        </w:rPr>
        <w:t xml:space="preserve"> ( 3 days)</w:t>
      </w:r>
      <w:bookmarkEnd w:id="100"/>
    </w:p>
    <w:p w14:paraId="2EF17D6C" w14:textId="6B0DEA59" w:rsidR="003048A4" w:rsidRDefault="003048A4" w:rsidP="003048A4">
      <w:pPr>
        <w:jc w:val="center"/>
        <w:rPr>
          <w:lang w:val="en-US"/>
        </w:rPr>
      </w:pPr>
      <w:r w:rsidRPr="00B618D0">
        <w:rPr>
          <w:b/>
          <w:noProof/>
          <w:lang w:val="en-US"/>
        </w:rPr>
        <w:drawing>
          <wp:inline distT="0" distB="0" distL="0" distR="0" wp14:anchorId="0FE43865" wp14:editId="41542913">
            <wp:extent cx="3023870" cy="6428740"/>
            <wp:effectExtent l="0" t="0" r="5080" b="0"/>
            <wp:docPr id="708761347" name="Picture 10"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56899" name="Picture 10" descr="A diagram of a graph&#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030588" cy="6442907"/>
                    </a:xfrm>
                    <a:prstGeom prst="rect">
                      <a:avLst/>
                    </a:prstGeom>
                    <a:noFill/>
                    <a:ln>
                      <a:noFill/>
                    </a:ln>
                  </pic:spPr>
                </pic:pic>
              </a:graphicData>
            </a:graphic>
          </wp:inline>
        </w:drawing>
      </w:r>
    </w:p>
    <w:p w14:paraId="28BCB845" w14:textId="03FBB9A7" w:rsidR="003048A4" w:rsidRPr="003048A4" w:rsidRDefault="003048A4" w:rsidP="003048A4">
      <w:pPr>
        <w:pStyle w:val="TableFigureTitle"/>
      </w:pPr>
      <w:bookmarkStart w:id="101" w:name="_Toc199928264"/>
      <w:r w:rsidRPr="00B618D0">
        <w:t xml:space="preserve">Figure </w:t>
      </w:r>
      <w:r w:rsidRPr="00B618D0">
        <w:fldChar w:fldCharType="begin"/>
      </w:r>
      <w:r w:rsidRPr="00B618D0">
        <w:instrText xml:space="preserve"> SEQ Figure \* ARABIC </w:instrText>
      </w:r>
      <w:r w:rsidRPr="00B618D0">
        <w:fldChar w:fldCharType="separate"/>
      </w:r>
      <w:r>
        <w:rPr>
          <w:noProof/>
        </w:rPr>
        <w:t>20</w:t>
      </w:r>
      <w:r w:rsidRPr="00B618D0">
        <w:fldChar w:fldCharType="end"/>
      </w:r>
      <w:r>
        <w:t xml:space="preserve"> -</w:t>
      </w:r>
      <w:r w:rsidRPr="00B618D0">
        <w:t xml:space="preserve"> Horace scans of RbMnF</w:t>
      </w:r>
      <w:r w:rsidRPr="00521AE4">
        <w:rPr>
          <w:vertAlign w:val="subscript"/>
        </w:rPr>
        <w:t>3</w:t>
      </w:r>
      <w:r w:rsidRPr="00B618D0">
        <w:t xml:space="preserve"> from MERLIN</w:t>
      </w:r>
      <w:bookmarkEnd w:id="101"/>
    </w:p>
    <w:p w14:paraId="1F9707FA" w14:textId="77777777" w:rsidR="003C37B7" w:rsidRDefault="003C37B7" w:rsidP="003C37B7">
      <w:pPr>
        <w:rPr>
          <w:lang w:val="en-US"/>
        </w:rPr>
      </w:pPr>
      <w:r>
        <w:rPr>
          <w:lang w:val="en-US"/>
        </w:rPr>
        <w:t xml:space="preserve">For double checking the normalization, we need to compare data with well understood spectrometers, preferably with direct geometry ToF-machnines, since they operate under constant Ei, and have very little material between sample and detector. </w:t>
      </w:r>
    </w:p>
    <w:p w14:paraId="0019D25F" w14:textId="77777777" w:rsidR="003C37B7" w:rsidRDefault="003C37B7" w:rsidP="003C37B7">
      <w:pPr>
        <w:rPr>
          <w:lang w:val="en-US"/>
        </w:rPr>
      </w:pPr>
      <w:r>
        <w:rPr>
          <w:lang w:val="en-US"/>
        </w:rPr>
        <w:t>There are many candidates for a material, but one of them is RbMnF3, the system used in the HORACE publication:</w:t>
      </w:r>
    </w:p>
    <w:p w14:paraId="79A84419" w14:textId="025AF32A" w:rsidR="003C37B7" w:rsidRDefault="003C37B7" w:rsidP="003C37B7">
      <w:pPr>
        <w:rPr>
          <w:lang w:val="en-US"/>
        </w:rPr>
      </w:pPr>
      <w:r w:rsidRPr="00521AE4">
        <w:rPr>
          <w:lang w:val="en-US"/>
        </w:rPr>
        <w:t>https://www.sciencedirect.com/science/article/pii/S016890021630777X</w:t>
      </w:r>
    </w:p>
    <w:p w14:paraId="47497F20" w14:textId="77777777" w:rsidR="003C37B7" w:rsidRDefault="003C37B7" w:rsidP="003C37B7">
      <w:pPr>
        <w:rPr>
          <w:lang w:val="en-US"/>
        </w:rPr>
      </w:pPr>
      <w:r>
        <w:rPr>
          <w:lang w:val="en-US"/>
        </w:rPr>
        <w:lastRenderedPageBreak/>
        <w:t>There is a single mode below 10 meV, with well understood magnon mode intensity. Reproducing literature values of magnon intensity of RbMnF</w:t>
      </w:r>
      <w:r w:rsidRPr="0088115F">
        <w:rPr>
          <w:vertAlign w:val="subscript"/>
          <w:lang w:val="en-US"/>
        </w:rPr>
        <w:t>3</w:t>
      </w:r>
      <w:r>
        <w:rPr>
          <w:lang w:val="en-US"/>
        </w:rPr>
        <w:t xml:space="preserve"> and MnF</w:t>
      </w:r>
      <w:r w:rsidRPr="0088115F">
        <w:rPr>
          <w:vertAlign w:val="subscript"/>
          <w:lang w:val="en-US"/>
        </w:rPr>
        <w:t>2</w:t>
      </w:r>
      <w:r>
        <w:rPr>
          <w:lang w:val="en-US"/>
        </w:rPr>
        <w:t xml:space="preserve">, to within 15 % is a key goal of benchmarking. </w:t>
      </w:r>
    </w:p>
    <w:p w14:paraId="699EC278" w14:textId="77777777" w:rsidR="003C37B7" w:rsidRDefault="003C37B7" w:rsidP="003C37B7">
      <w:pPr>
        <w:rPr>
          <w:lang w:val="en-US"/>
        </w:rPr>
      </w:pPr>
      <w:r>
        <w:rPr>
          <w:lang w:val="en-US"/>
        </w:rPr>
        <w:t>For this particular goal, it is important to be cautious. Theoretically, the magnon mode intensities are extremely rarely modelled well to below 1 %. Very few spectrometers can be claimed to be calibrated on that level, due to irregularities in detector efficiency, aluminum windows and normalization errors.</w:t>
      </w:r>
    </w:p>
    <w:p w14:paraId="0A975941" w14:textId="77777777" w:rsidR="003C37B7" w:rsidRDefault="003C37B7" w:rsidP="003C37B7">
      <w:pPr>
        <w:rPr>
          <w:lang w:val="en-US"/>
        </w:rPr>
      </w:pPr>
      <w:r>
        <w:rPr>
          <w:lang w:val="en-US"/>
        </w:rPr>
        <w:t xml:space="preserve">This becomes almost paradoxical, as there are few gold standards for mode intensity around, for this very reason. The only option available is to find a system so well understood </w:t>
      </w:r>
      <w:r w:rsidRPr="0088115F">
        <w:rPr>
          <w:i/>
          <w:iCs/>
          <w:lang w:val="en-US"/>
        </w:rPr>
        <w:t>theoretically</w:t>
      </w:r>
      <w:r>
        <w:rPr>
          <w:lang w:val="en-US"/>
        </w:rPr>
        <w:t xml:space="preserve">, that there can be no doubt about the neutron scattering cross section </w:t>
      </w:r>
    </w:p>
    <w:p w14:paraId="6B47B60D" w14:textId="77777777" w:rsidR="003C37B7" w:rsidRDefault="003C37B7" w:rsidP="003C37B7">
      <w:pPr>
        <w:rPr>
          <w:lang w:val="en-US"/>
        </w:rPr>
      </w:pPr>
      <w:r>
        <w:rPr>
          <w:lang w:val="en-US"/>
        </w:rPr>
        <w:t xml:space="preserve">The goal of benchmarking here is not to embark on a quest to set new standards in neutron spectroscopy. The goal is to obtain an understanding of the normalization limits of the instrument and verify existing data sets to a level of confidence good enough for first science. We can then progressively try to improve our understanding. </w:t>
      </w:r>
    </w:p>
    <w:p w14:paraId="39200DB4" w14:textId="77777777" w:rsidR="003C37B7" w:rsidRPr="00B618D0" w:rsidRDefault="003C37B7" w:rsidP="003C37B7"/>
    <w:p w14:paraId="1DBA8B55" w14:textId="194C50CE" w:rsidR="003C37B7" w:rsidRDefault="009A07D0" w:rsidP="00413E89">
      <w:pPr>
        <w:pStyle w:val="Heading3"/>
        <w:rPr>
          <w:lang w:val="en-US"/>
        </w:rPr>
      </w:pPr>
      <w:r>
        <w:rPr>
          <w:lang w:val="en-US"/>
        </w:rPr>
        <w:t xml:space="preserve"> </w:t>
      </w:r>
      <w:bookmarkStart w:id="102" w:name="_Toc199928665"/>
      <w:r w:rsidR="003C37B7" w:rsidRPr="00413E89">
        <w:t>Dispersion</w:t>
      </w:r>
      <w:r w:rsidR="003C37B7">
        <w:rPr>
          <w:lang w:val="en-US"/>
        </w:rPr>
        <w:t xml:space="preserve">: </w:t>
      </w:r>
      <w:r w:rsidR="003C37B7" w:rsidRPr="008A4AD6">
        <w:rPr>
          <w:lang w:val="en-US"/>
        </w:rPr>
        <w:t>Well</w:t>
      </w:r>
      <w:r>
        <w:rPr>
          <w:lang w:val="en-US"/>
        </w:rPr>
        <w:t>-</w:t>
      </w:r>
      <w:r w:rsidR="003C37B7" w:rsidRPr="008A4AD6">
        <w:rPr>
          <w:lang w:val="en-US"/>
        </w:rPr>
        <w:t xml:space="preserve">known </w:t>
      </w:r>
      <w:r w:rsidR="003C37B7">
        <w:rPr>
          <w:lang w:val="en-US"/>
        </w:rPr>
        <w:t>complex</w:t>
      </w:r>
      <w:r w:rsidR="003C37B7" w:rsidRPr="008A4AD6">
        <w:rPr>
          <w:lang w:val="en-US"/>
        </w:rPr>
        <w:t xml:space="preserve"> system</w:t>
      </w:r>
      <w:r w:rsidR="0055182C">
        <w:rPr>
          <w:lang w:val="en-US"/>
        </w:rPr>
        <w:t xml:space="preserve"> (3 days)</w:t>
      </w:r>
      <w:bookmarkEnd w:id="102"/>
    </w:p>
    <w:p w14:paraId="188006A9" w14:textId="0B0B72A5" w:rsidR="003C37B7" w:rsidRDefault="003C37B7" w:rsidP="003C37B7">
      <w:pPr>
        <w:rPr>
          <w:lang w:val="en-US"/>
        </w:rPr>
      </w:pPr>
      <w:r>
        <w:rPr>
          <w:lang w:val="en-US"/>
        </w:rPr>
        <w:t xml:space="preserve">When moving to more complex systems, we start approaching first science. Yet, we would like to start with a complex measurement </w:t>
      </w:r>
      <w:r w:rsidR="004138F6">
        <w:rPr>
          <w:lang w:val="en-US"/>
        </w:rPr>
        <w:t>that</w:t>
      </w:r>
      <w:r>
        <w:rPr>
          <w:lang w:val="en-US"/>
        </w:rPr>
        <w:t xml:space="preserve"> has already been </w:t>
      </w:r>
      <w:r w:rsidR="004138F6">
        <w:rPr>
          <w:lang w:val="en-US"/>
        </w:rPr>
        <w:t>made</w:t>
      </w:r>
      <w:r>
        <w:rPr>
          <w:lang w:val="en-US"/>
        </w:rPr>
        <w:t xml:space="preserve"> and</w:t>
      </w:r>
      <w:r w:rsidR="00023C28">
        <w:rPr>
          <w:lang w:val="en-US"/>
        </w:rPr>
        <w:t xml:space="preserve"> is</w:t>
      </w:r>
      <w:r>
        <w:rPr>
          <w:lang w:val="en-US"/>
        </w:rPr>
        <w:t xml:space="preserve"> well understood. An excellent candidate for BIFROST would be looking at the s</w:t>
      </w:r>
      <w:r w:rsidRPr="00FC1F93">
        <w:rPr>
          <w:lang w:val="en-US"/>
        </w:rPr>
        <w:t>pin dynamics in the square-lattice cupola system Ba(TiO)Cu</w:t>
      </w:r>
      <w:r w:rsidRPr="00FC1F93">
        <w:rPr>
          <w:vertAlign w:val="subscript"/>
          <w:lang w:val="en-US"/>
        </w:rPr>
        <w:t>4</w:t>
      </w:r>
      <w:r w:rsidRPr="00FC1F93">
        <w:rPr>
          <w:lang w:val="en-US"/>
        </w:rPr>
        <w:t>(PO</w:t>
      </w:r>
      <w:r w:rsidRPr="00FC1F93">
        <w:rPr>
          <w:vertAlign w:val="subscript"/>
          <w:lang w:val="en-US"/>
        </w:rPr>
        <w:t>4</w:t>
      </w:r>
      <w:r w:rsidRPr="00FC1F93">
        <w:rPr>
          <w:lang w:val="en-US"/>
        </w:rPr>
        <w:t>)</w:t>
      </w:r>
      <w:r w:rsidRPr="00FC1F93">
        <w:rPr>
          <w:vertAlign w:val="subscript"/>
          <w:lang w:val="en-US"/>
        </w:rPr>
        <w:t>4</w:t>
      </w:r>
      <w:r>
        <w:rPr>
          <w:lang w:val="en-US"/>
        </w:rPr>
        <w:t xml:space="preserve">, studied here: </w:t>
      </w:r>
      <w:hyperlink r:id="rId46" w:history="1">
        <w:r w:rsidRPr="00FC1F93">
          <w:rPr>
            <w:rStyle w:val="Hyperlink"/>
          </w:rPr>
          <w:t>Spin dynamics in the square-lattice cupola system | Phys. Rev. B</w:t>
        </w:r>
      </w:hyperlink>
      <w:r>
        <w:rPr>
          <w:lang w:val="en-US"/>
        </w:rPr>
        <w:t>.</w:t>
      </w:r>
    </w:p>
    <w:p w14:paraId="028C3F84" w14:textId="41D09E33" w:rsidR="003C37B7" w:rsidRPr="00FC1F93" w:rsidRDefault="003C37B7" w:rsidP="003C37B7">
      <w:pPr>
        <w:rPr>
          <w:lang w:val="en-US"/>
        </w:rPr>
      </w:pPr>
      <w:r>
        <w:rPr>
          <w:lang w:val="en-US"/>
        </w:rPr>
        <w:t xml:space="preserve">The measurements in that paper were done on IN5 and IN12, and the IN5 data has excellent resolution, which can be seen </w:t>
      </w:r>
      <w:r w:rsidR="0000022D">
        <w:rPr>
          <w:lang w:val="en-US"/>
        </w:rPr>
        <w:t>i</w:t>
      </w:r>
      <w:r>
        <w:rPr>
          <w:lang w:val="en-US"/>
        </w:rPr>
        <w:t>n</w:t>
      </w:r>
      <w:r w:rsidR="006E2F7C">
        <w:rPr>
          <w:lang w:val="en-US"/>
        </w:rPr>
        <w:t xml:space="preserve"> </w:t>
      </w:r>
      <w:r w:rsidR="006E2F7C">
        <w:rPr>
          <w:lang w:val="en-US"/>
        </w:rPr>
        <w:fldChar w:fldCharType="begin"/>
      </w:r>
      <w:r w:rsidR="006E2F7C">
        <w:rPr>
          <w:lang w:val="en-US"/>
        </w:rPr>
        <w:instrText xml:space="preserve"> REF _Ref199927099 \h </w:instrText>
      </w:r>
      <w:r w:rsidR="006E2F7C">
        <w:rPr>
          <w:lang w:val="en-US"/>
        </w:rPr>
      </w:r>
      <w:r w:rsidR="006E2F7C">
        <w:rPr>
          <w:lang w:val="en-US"/>
        </w:rPr>
        <w:fldChar w:fldCharType="separate"/>
      </w:r>
      <w:r w:rsidR="006E2F7C">
        <w:t xml:space="preserve">Figure </w:t>
      </w:r>
      <w:r w:rsidR="006E2F7C">
        <w:rPr>
          <w:noProof/>
        </w:rPr>
        <w:t>21</w:t>
      </w:r>
      <w:r w:rsidR="006E2F7C">
        <w:rPr>
          <w:lang w:val="en-US"/>
        </w:rPr>
        <w:fldChar w:fldCharType="end"/>
      </w:r>
      <w:r>
        <w:rPr>
          <w:lang w:val="en-US"/>
        </w:rPr>
        <w:t xml:space="preserve">. Not only the mode positions and dispersions are well modelled, but also the intensities. </w:t>
      </w:r>
    </w:p>
    <w:p w14:paraId="596D4E51" w14:textId="77777777" w:rsidR="003C37B7" w:rsidRDefault="003C37B7" w:rsidP="00413E89">
      <w:pPr>
        <w:keepNext/>
        <w:jc w:val="center"/>
      </w:pPr>
      <w:r>
        <w:rPr>
          <w:noProof/>
          <w:lang w:val="en-US"/>
        </w:rPr>
        <w:lastRenderedPageBreak/>
        <w:drawing>
          <wp:inline distT="0" distB="0" distL="0" distR="0" wp14:anchorId="664374B7" wp14:editId="64D5B923">
            <wp:extent cx="6115050" cy="2964180"/>
            <wp:effectExtent l="0" t="0" r="0" b="7620"/>
            <wp:docPr id="845926463" name="Picture 2" descr="A close-up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26463" name="Picture 2" descr="A close-up of a graph&#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15050" cy="2964180"/>
                    </a:xfrm>
                    <a:prstGeom prst="rect">
                      <a:avLst/>
                    </a:prstGeom>
                    <a:noFill/>
                    <a:ln>
                      <a:noFill/>
                    </a:ln>
                  </pic:spPr>
                </pic:pic>
              </a:graphicData>
            </a:graphic>
          </wp:inline>
        </w:drawing>
      </w:r>
    </w:p>
    <w:p w14:paraId="51626F70" w14:textId="310C9C50" w:rsidR="003C37B7" w:rsidRDefault="003C37B7" w:rsidP="00413E89">
      <w:pPr>
        <w:pStyle w:val="TableFigureTitle"/>
        <w:rPr>
          <w:lang w:val="en-US"/>
        </w:rPr>
      </w:pPr>
      <w:bookmarkStart w:id="103" w:name="_Ref199927099"/>
      <w:bookmarkStart w:id="104" w:name="_Toc199928265"/>
      <w:r>
        <w:t xml:space="preserve">Figure </w:t>
      </w:r>
      <w:r>
        <w:fldChar w:fldCharType="begin"/>
      </w:r>
      <w:r>
        <w:instrText xml:space="preserve"> SEQ Figure \* ARABIC </w:instrText>
      </w:r>
      <w:r>
        <w:fldChar w:fldCharType="separate"/>
      </w:r>
      <w:r w:rsidR="001621CA">
        <w:rPr>
          <w:noProof/>
        </w:rPr>
        <w:t>21</w:t>
      </w:r>
      <w:r>
        <w:fldChar w:fldCharType="end"/>
      </w:r>
      <w:bookmarkEnd w:id="103"/>
      <w:r w:rsidR="00413E89">
        <w:t xml:space="preserve"> -</w:t>
      </w:r>
      <w:r>
        <w:t xml:space="preserve"> Magnon modes below 5 meV as </w:t>
      </w:r>
      <w:r w:rsidR="003362B1">
        <w:t>measured</w:t>
      </w:r>
      <w:r>
        <w:t xml:space="preserve"> with high resolution on IN5</w:t>
      </w:r>
      <w:bookmarkEnd w:id="104"/>
    </w:p>
    <w:p w14:paraId="421B2073" w14:textId="734EE562" w:rsidR="003C37B7" w:rsidRPr="008A4AD6" w:rsidRDefault="003C37B7" w:rsidP="003C37B7">
      <w:pPr>
        <w:rPr>
          <w:lang w:val="en-US"/>
        </w:rPr>
      </w:pPr>
      <w:r>
        <w:rPr>
          <w:lang w:val="en-US"/>
        </w:rPr>
        <w:t xml:space="preserve">A good first measurement would be to look at the [-h, h, 0] direction, where ‘only’ 4 modes are seen. These are clearly separated and could be well resolved. A second measurement, venturing into early science, would be to focus on high-resolution mapping of the [2h, h, 0] direction, where even the resolving power of IN5 is challenged. </w:t>
      </w:r>
    </w:p>
    <w:p w14:paraId="035E79DE" w14:textId="3B1857DF" w:rsidR="004C7A9B" w:rsidRDefault="00DF3BA1" w:rsidP="00413E89">
      <w:pPr>
        <w:pStyle w:val="Heading2"/>
      </w:pPr>
      <w:bookmarkStart w:id="105" w:name="_Toc199928666"/>
      <w:r>
        <w:t xml:space="preserve">Initial schedule </w:t>
      </w:r>
      <w:r w:rsidR="004C7A9B">
        <w:t xml:space="preserve">of hot </w:t>
      </w:r>
      <w:r w:rsidR="004C7A9B" w:rsidRPr="00413E89">
        <w:t>commissioning</w:t>
      </w:r>
      <w:r w:rsidR="004C7A9B">
        <w:t xml:space="preserve"> activities</w:t>
      </w:r>
      <w:bookmarkEnd w:id="105"/>
    </w:p>
    <w:p w14:paraId="1973F1F7" w14:textId="6CEC32C4" w:rsidR="004C7A9B" w:rsidRDefault="005A5B6F" w:rsidP="002929B9">
      <w:r>
        <w:t>In the following</w:t>
      </w:r>
      <w:r w:rsidR="0055182C">
        <w:t xml:space="preserve">, the draft schedule as per 3/6 2025 is assumed to hold. </w:t>
      </w:r>
    </w:p>
    <w:p w14:paraId="4DCDB418" w14:textId="77777777" w:rsidR="00FC2FD5" w:rsidRPr="00413E89" w:rsidRDefault="00FC2FD5" w:rsidP="00FC2FD5">
      <w:pPr>
        <w:pStyle w:val="TOC3"/>
        <w:rPr>
          <w:rStyle w:val="Hyperlink"/>
          <w:color w:val="000000" w:themeColor="text1"/>
          <w:sz w:val="28"/>
          <w:szCs w:val="28"/>
        </w:rPr>
      </w:pPr>
      <w:r w:rsidRPr="00413E89">
        <w:rPr>
          <w:rStyle w:val="Hyperlink"/>
          <w:color w:val="000000" w:themeColor="text1"/>
          <w:sz w:val="28"/>
          <w:szCs w:val="28"/>
        </w:rPr>
        <w:t>Schedule after BoT:</w:t>
      </w:r>
    </w:p>
    <w:p w14:paraId="6782E7CA"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b/>
          <w:bCs/>
          <w:color w:val="000000" w:themeColor="text1"/>
          <w:u w:val="none"/>
        </w:rPr>
        <w:t>12 weeks accelerator testing</w:t>
      </w:r>
      <w:r w:rsidRPr="006F53EF">
        <w:rPr>
          <w:rStyle w:val="Hyperlink"/>
          <w:color w:val="000000" w:themeColor="text1"/>
          <w:u w:val="none"/>
        </w:rPr>
        <w:t>: Test equipment, measure Bragg peaks</w:t>
      </w:r>
    </w:p>
    <w:p w14:paraId="24031FE1"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b/>
          <w:bCs/>
          <w:color w:val="000000" w:themeColor="text1"/>
          <w:u w:val="none"/>
        </w:rPr>
        <w:t>4 weeks</w:t>
      </w:r>
      <w:r w:rsidRPr="006F53EF">
        <w:rPr>
          <w:rStyle w:val="Hyperlink"/>
          <w:color w:val="000000" w:themeColor="text1"/>
          <w:u w:val="none"/>
        </w:rPr>
        <w:t xml:space="preserve"> – 8 beam days: M1, PSC, FOCs and BW</w:t>
      </w:r>
    </w:p>
    <w:p w14:paraId="26EAB901" w14:textId="77777777" w:rsidR="00FC2FD5" w:rsidRPr="006F53EF" w:rsidRDefault="00FC2FD5" w:rsidP="00FC2FD5">
      <w:pPr>
        <w:pStyle w:val="TOC3"/>
        <w:rPr>
          <w:rStyle w:val="Hyperlink"/>
          <w:b/>
          <w:bCs/>
          <w:color w:val="000000" w:themeColor="text1"/>
          <w:u w:val="none"/>
        </w:rPr>
      </w:pPr>
      <w:r w:rsidRPr="006F53EF">
        <w:rPr>
          <w:rStyle w:val="Hyperlink"/>
          <w:b/>
          <w:bCs/>
          <w:color w:val="000000" w:themeColor="text1"/>
          <w:u w:val="none"/>
        </w:rPr>
        <w:t>14 week shutdown</w:t>
      </w:r>
    </w:p>
    <w:p w14:paraId="15C83308" w14:textId="77777777" w:rsidR="00FC2FD5" w:rsidRPr="006F53EF" w:rsidRDefault="00FC2FD5" w:rsidP="00FC2FD5">
      <w:pPr>
        <w:pStyle w:val="TOC3"/>
        <w:rPr>
          <w:rStyle w:val="Hyperlink"/>
          <w:b/>
          <w:bCs/>
          <w:color w:val="000000" w:themeColor="text1"/>
          <w:u w:val="none"/>
        </w:rPr>
      </w:pPr>
      <w:r w:rsidRPr="006F53EF">
        <w:rPr>
          <w:rStyle w:val="Hyperlink"/>
          <w:b/>
          <w:bCs/>
          <w:color w:val="000000" w:themeColor="text1"/>
          <w:u w:val="none"/>
        </w:rPr>
        <w:t>14 weeks: 270 kW operation, 2 days pr week:</w:t>
      </w:r>
    </w:p>
    <w:p w14:paraId="3C5A8150"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color w:val="000000" w:themeColor="text1"/>
          <w:u w:val="none"/>
        </w:rPr>
        <w:t>Week 1-2: Sample spectrum, flight path calibration, divergence jaw characterization</w:t>
      </w:r>
    </w:p>
    <w:p w14:paraId="771FB7DF"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color w:val="000000" w:themeColor="text1"/>
          <w:u w:val="none"/>
        </w:rPr>
        <w:t>Week 2-4: Intial flux measurement, normalization measurements, attenuator tests</w:t>
      </w:r>
    </w:p>
    <w:p w14:paraId="16DDCFBD"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color w:val="000000" w:themeColor="text1"/>
          <w:u w:val="none"/>
        </w:rPr>
        <w:t>Week 5-6: Golf foil measurements, Charge division tests</w:t>
      </w:r>
    </w:p>
    <w:p w14:paraId="56774486"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color w:val="000000" w:themeColor="text1"/>
          <w:u w:val="none"/>
        </w:rPr>
        <w:t>Week 7-9: Be-filter calibration, tank scattering angle</w:t>
      </w:r>
    </w:p>
    <w:p w14:paraId="388CB1BB"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color w:val="000000" w:themeColor="text1"/>
          <w:u w:val="none"/>
        </w:rPr>
        <w:t>Week 10-11: Final energy calibration</w:t>
      </w:r>
    </w:p>
    <w:p w14:paraId="088B1FBD" w14:textId="77777777" w:rsidR="00FC2FD5" w:rsidRPr="006F53EF" w:rsidRDefault="00FC2FD5" w:rsidP="00D23FD6">
      <w:pPr>
        <w:pStyle w:val="TOC3"/>
        <w:numPr>
          <w:ilvl w:val="0"/>
          <w:numId w:val="40"/>
        </w:numPr>
        <w:rPr>
          <w:rStyle w:val="Hyperlink"/>
          <w:color w:val="000000" w:themeColor="text1"/>
          <w:u w:val="none"/>
        </w:rPr>
      </w:pPr>
      <w:r w:rsidRPr="006F53EF">
        <w:rPr>
          <w:rStyle w:val="Hyperlink"/>
          <w:color w:val="000000" w:themeColor="text1"/>
          <w:u w:val="none"/>
        </w:rPr>
        <w:t>Week 12-14: Cross talk shielding, Secondary spectrometer normalization, sample environment tests</w:t>
      </w:r>
    </w:p>
    <w:p w14:paraId="5C4D501A" w14:textId="77777777" w:rsidR="00FC2FD5" w:rsidRPr="00FC2FD5" w:rsidRDefault="00FC2FD5" w:rsidP="00FC2FD5">
      <w:pPr>
        <w:pStyle w:val="TOC3"/>
        <w:rPr>
          <w:rStyle w:val="Hyperlink"/>
          <w:b/>
          <w:bCs/>
          <w:color w:val="000000" w:themeColor="text1"/>
          <w:u w:val="none"/>
        </w:rPr>
      </w:pPr>
      <w:r w:rsidRPr="00FC2FD5">
        <w:rPr>
          <w:rStyle w:val="Hyperlink"/>
          <w:b/>
          <w:bCs/>
          <w:color w:val="000000" w:themeColor="text1"/>
          <w:u w:val="none"/>
        </w:rPr>
        <w:t>11 week shutdown</w:t>
      </w:r>
    </w:p>
    <w:p w14:paraId="2D334830" w14:textId="6BD58ABA" w:rsidR="00FC2FD5" w:rsidRPr="0055182C" w:rsidRDefault="00FC2FD5" w:rsidP="0055182C">
      <w:pPr>
        <w:pStyle w:val="TOC3"/>
        <w:rPr>
          <w:rStyle w:val="Hyperlink"/>
          <w:color w:val="000000" w:themeColor="text1"/>
          <w:u w:val="none"/>
        </w:rPr>
      </w:pPr>
      <w:r w:rsidRPr="00FC2FD5">
        <w:rPr>
          <w:rStyle w:val="Hyperlink"/>
          <w:color w:val="000000" w:themeColor="text1"/>
          <w:u w:val="none"/>
        </w:rPr>
        <w:t>If nothing goes wrong, beamline ready for early science after 55 weeks</w:t>
      </w:r>
      <w:r w:rsidR="00D83398">
        <w:rPr>
          <w:rStyle w:val="Hyperlink"/>
          <w:color w:val="000000" w:themeColor="text1"/>
          <w:u w:val="none"/>
        </w:rPr>
        <w:t>.</w:t>
      </w:r>
    </w:p>
    <w:p w14:paraId="23652425" w14:textId="5B38968B" w:rsidR="00FC2FD5" w:rsidRPr="00413E89" w:rsidRDefault="00FC2FD5" w:rsidP="00FC2FD5">
      <w:pPr>
        <w:pStyle w:val="TOC3"/>
        <w:rPr>
          <w:rStyle w:val="Hyperlink"/>
          <w:color w:val="000000" w:themeColor="text1"/>
          <w:sz w:val="28"/>
          <w:szCs w:val="28"/>
        </w:rPr>
      </w:pPr>
      <w:r w:rsidRPr="00413E89">
        <w:rPr>
          <w:rStyle w:val="Hyperlink"/>
          <w:color w:val="000000" w:themeColor="text1"/>
          <w:sz w:val="28"/>
          <w:szCs w:val="28"/>
        </w:rPr>
        <w:t>Benchmarking experiments and/or early science:</w:t>
      </w:r>
    </w:p>
    <w:p w14:paraId="7A285696" w14:textId="77777777" w:rsidR="00FC2FD5" w:rsidRPr="006F53EF" w:rsidRDefault="00FC2FD5" w:rsidP="00FC2FD5">
      <w:pPr>
        <w:pStyle w:val="TOC3"/>
        <w:rPr>
          <w:rStyle w:val="Hyperlink"/>
          <w:b/>
          <w:bCs/>
          <w:color w:val="000000" w:themeColor="text1"/>
          <w:u w:val="none"/>
        </w:rPr>
      </w:pPr>
      <w:r w:rsidRPr="006F53EF">
        <w:rPr>
          <w:rStyle w:val="Hyperlink"/>
          <w:b/>
          <w:bCs/>
          <w:color w:val="000000" w:themeColor="text1"/>
          <w:u w:val="none"/>
        </w:rPr>
        <w:t>16 weeks 570 kW, 2.5 day pr week:</w:t>
      </w:r>
    </w:p>
    <w:p w14:paraId="788EACB4" w14:textId="77777777" w:rsidR="00FC2FD5" w:rsidRPr="006F53EF" w:rsidRDefault="00FC2FD5" w:rsidP="00D23FD6">
      <w:pPr>
        <w:pStyle w:val="TOC3"/>
        <w:numPr>
          <w:ilvl w:val="0"/>
          <w:numId w:val="41"/>
        </w:numPr>
        <w:rPr>
          <w:rStyle w:val="Hyperlink"/>
          <w:color w:val="000000" w:themeColor="text1"/>
          <w:u w:val="none"/>
        </w:rPr>
      </w:pPr>
      <w:r w:rsidRPr="006F53EF">
        <w:rPr>
          <w:rStyle w:val="Hyperlink"/>
          <w:color w:val="000000" w:themeColor="text1"/>
          <w:u w:val="none"/>
        </w:rPr>
        <w:t>Week 1: Elastic line and flat modes below 10 and around 30 meV’</w:t>
      </w:r>
    </w:p>
    <w:p w14:paraId="14846B1B" w14:textId="77777777" w:rsidR="00FC2FD5" w:rsidRPr="006F53EF" w:rsidRDefault="00FC2FD5" w:rsidP="00D23FD6">
      <w:pPr>
        <w:pStyle w:val="TOC3"/>
        <w:numPr>
          <w:ilvl w:val="0"/>
          <w:numId w:val="41"/>
        </w:numPr>
        <w:rPr>
          <w:rStyle w:val="Hyperlink"/>
          <w:color w:val="000000" w:themeColor="text1"/>
          <w:u w:val="none"/>
        </w:rPr>
      </w:pPr>
      <w:r w:rsidRPr="006F53EF">
        <w:rPr>
          <w:rStyle w:val="Hyperlink"/>
          <w:color w:val="000000" w:themeColor="text1"/>
          <w:u w:val="none"/>
        </w:rPr>
        <w:lastRenderedPageBreak/>
        <w:t>Week 2: Low energy flat modes</w:t>
      </w:r>
    </w:p>
    <w:p w14:paraId="370DAC12" w14:textId="77777777" w:rsidR="00FC2FD5" w:rsidRPr="006F53EF" w:rsidRDefault="00FC2FD5" w:rsidP="00D23FD6">
      <w:pPr>
        <w:pStyle w:val="TOC3"/>
        <w:numPr>
          <w:ilvl w:val="0"/>
          <w:numId w:val="41"/>
        </w:numPr>
        <w:rPr>
          <w:rStyle w:val="Hyperlink"/>
          <w:color w:val="000000" w:themeColor="text1"/>
          <w:u w:val="none"/>
        </w:rPr>
      </w:pPr>
      <w:r w:rsidRPr="006F53EF">
        <w:rPr>
          <w:rStyle w:val="Hyperlink"/>
          <w:color w:val="000000" w:themeColor="text1"/>
          <w:u w:val="none"/>
        </w:rPr>
        <w:t>Week 3: Simple dispersion</w:t>
      </w:r>
    </w:p>
    <w:p w14:paraId="228F1066" w14:textId="77777777" w:rsidR="00FC2FD5" w:rsidRPr="006F53EF" w:rsidRDefault="00FC2FD5" w:rsidP="00D23FD6">
      <w:pPr>
        <w:pStyle w:val="TOC3"/>
        <w:numPr>
          <w:ilvl w:val="0"/>
          <w:numId w:val="41"/>
        </w:numPr>
        <w:rPr>
          <w:rStyle w:val="Hyperlink"/>
          <w:color w:val="000000" w:themeColor="text1"/>
          <w:u w:val="none"/>
        </w:rPr>
      </w:pPr>
      <w:r w:rsidRPr="006F53EF">
        <w:rPr>
          <w:rStyle w:val="Hyperlink"/>
          <w:color w:val="000000" w:themeColor="text1"/>
          <w:u w:val="none"/>
        </w:rPr>
        <w:t>Week 4: Intensity and normalization validation</w:t>
      </w:r>
    </w:p>
    <w:p w14:paraId="48891791" w14:textId="0E8DDCE5" w:rsidR="00FC2FD5" w:rsidRPr="0055182C" w:rsidRDefault="00FC2FD5" w:rsidP="00D23FD6">
      <w:pPr>
        <w:pStyle w:val="TOC3"/>
        <w:numPr>
          <w:ilvl w:val="0"/>
          <w:numId w:val="41"/>
        </w:numPr>
        <w:rPr>
          <w:rStyle w:val="Hyperlink"/>
          <w:color w:val="000000" w:themeColor="text1"/>
          <w:u w:val="none"/>
        </w:rPr>
      </w:pPr>
      <w:r w:rsidRPr="006F53EF">
        <w:rPr>
          <w:rStyle w:val="Hyperlink"/>
          <w:color w:val="000000" w:themeColor="text1"/>
          <w:u w:val="none"/>
        </w:rPr>
        <w:t>Week 5: Verifying a complex dispersion</w:t>
      </w:r>
    </w:p>
    <w:p w14:paraId="2416DEB6" w14:textId="5207F7FF" w:rsidR="00DF3BA1" w:rsidRDefault="00DF3BA1" w:rsidP="00413E89">
      <w:pPr>
        <w:pStyle w:val="Heading2"/>
      </w:pPr>
      <w:bookmarkStart w:id="106" w:name="_Toc199928667"/>
      <w:r w:rsidRPr="00413E89">
        <w:t>Resources</w:t>
      </w:r>
      <w:bookmarkEnd w:id="106"/>
    </w:p>
    <w:p w14:paraId="74393736" w14:textId="091C8D43" w:rsidR="00DF3BA1" w:rsidRDefault="00DF3BA1" w:rsidP="002929B9">
      <w:r>
        <w:t>In terms of resources, it is assumed that the two instrument scientists, the IOE and 60 % of the IDS is available during the whole period</w:t>
      </w:r>
      <w:r w:rsidR="00FC2FD5">
        <w:t>. For the technical assistance, the shutdown period is included, as these are intense periods of analysis and</w:t>
      </w:r>
      <w:r w:rsidR="0058724F">
        <w:t xml:space="preserve"> tinkering. </w:t>
      </w:r>
    </w:p>
    <w:p w14:paraId="762A03C1" w14:textId="7A3BFD01" w:rsidR="00DF3BA1" w:rsidRPr="00DF3BA1" w:rsidRDefault="00DF3BA1" w:rsidP="002929B9">
      <w:pPr>
        <w:rPr>
          <w:b/>
          <w:bCs/>
        </w:rPr>
      </w:pPr>
      <w:r w:rsidRPr="00DF3BA1">
        <w:rPr>
          <w:b/>
          <w:bCs/>
        </w:rPr>
        <w:t xml:space="preserve">For the </w:t>
      </w:r>
      <w:r w:rsidR="0058724F">
        <w:rPr>
          <w:b/>
          <w:bCs/>
        </w:rPr>
        <w:t>20 weeks</w:t>
      </w:r>
      <w:r w:rsidRPr="00DF3BA1">
        <w:rPr>
          <w:b/>
          <w:bCs/>
        </w:rPr>
        <w:t xml:space="preserve"> commissioning period of the primary spectrometer, we need</w:t>
      </w:r>
    </w:p>
    <w:p w14:paraId="2ECF0BE6" w14:textId="0DB79A06" w:rsidR="00DF3BA1" w:rsidRDefault="00DF3BA1" w:rsidP="00D23FD6">
      <w:pPr>
        <w:pStyle w:val="ListParagraph"/>
        <w:numPr>
          <w:ilvl w:val="0"/>
          <w:numId w:val="32"/>
        </w:numPr>
      </w:pPr>
      <w:r>
        <w:t>50 % Chopper engineer</w:t>
      </w:r>
    </w:p>
    <w:p w14:paraId="3B53BB2F" w14:textId="756450E8" w:rsidR="00DF3BA1" w:rsidRDefault="00DF3BA1" w:rsidP="00D23FD6">
      <w:pPr>
        <w:pStyle w:val="ListParagraph"/>
        <w:numPr>
          <w:ilvl w:val="0"/>
          <w:numId w:val="32"/>
        </w:numPr>
      </w:pPr>
      <w:r>
        <w:t>50 % Monitor detector scientist</w:t>
      </w:r>
    </w:p>
    <w:p w14:paraId="20A8ED1E" w14:textId="2AEC68BF" w:rsidR="00DF3BA1" w:rsidRDefault="00DF3BA1" w:rsidP="00D23FD6">
      <w:pPr>
        <w:pStyle w:val="ListParagraph"/>
        <w:numPr>
          <w:ilvl w:val="0"/>
          <w:numId w:val="32"/>
        </w:numPr>
      </w:pPr>
      <w:r>
        <w:t>50 % EC/DC NICOS and EFU assistance</w:t>
      </w:r>
    </w:p>
    <w:p w14:paraId="7E8F5D57" w14:textId="39C6BB0F" w:rsidR="00DF3BA1" w:rsidRDefault="00DF3BA1" w:rsidP="00D23FD6">
      <w:pPr>
        <w:pStyle w:val="ListParagraph"/>
        <w:numPr>
          <w:ilvl w:val="0"/>
          <w:numId w:val="32"/>
        </w:numPr>
      </w:pPr>
      <w:r>
        <w:t>20 % Motion control engineer</w:t>
      </w:r>
    </w:p>
    <w:p w14:paraId="49809AB0" w14:textId="720CF473" w:rsidR="007011B3" w:rsidRDefault="007011B3" w:rsidP="00D23FD6">
      <w:pPr>
        <w:pStyle w:val="ListParagraph"/>
        <w:numPr>
          <w:ilvl w:val="0"/>
          <w:numId w:val="32"/>
        </w:numPr>
      </w:pPr>
      <w:r>
        <w:t>30 % Technician</w:t>
      </w:r>
    </w:p>
    <w:p w14:paraId="16EE8D6E" w14:textId="215889BC" w:rsidR="00DF3BA1" w:rsidRPr="00DF3BA1" w:rsidRDefault="00DF3BA1" w:rsidP="002929B9">
      <w:pPr>
        <w:rPr>
          <w:b/>
          <w:bCs/>
        </w:rPr>
      </w:pPr>
      <w:r w:rsidRPr="00DF3BA1">
        <w:rPr>
          <w:b/>
          <w:bCs/>
        </w:rPr>
        <w:t xml:space="preserve">For the </w:t>
      </w:r>
      <w:r w:rsidR="0058724F">
        <w:rPr>
          <w:b/>
          <w:bCs/>
        </w:rPr>
        <w:t>23 week</w:t>
      </w:r>
      <w:r w:rsidR="00104CA6">
        <w:rPr>
          <w:b/>
          <w:bCs/>
        </w:rPr>
        <w:t>s</w:t>
      </w:r>
      <w:r w:rsidRPr="00DF3BA1">
        <w:rPr>
          <w:b/>
          <w:bCs/>
        </w:rPr>
        <w:t xml:space="preserve"> secondary spectrometer commissioning period, we need</w:t>
      </w:r>
    </w:p>
    <w:p w14:paraId="652248B8" w14:textId="0C4D1A0B" w:rsidR="00DF3BA1" w:rsidRDefault="00DF3BA1" w:rsidP="00D23FD6">
      <w:pPr>
        <w:pStyle w:val="ListParagraph"/>
        <w:numPr>
          <w:ilvl w:val="0"/>
          <w:numId w:val="33"/>
        </w:numPr>
      </w:pPr>
      <w:r>
        <w:t>50 % Detector scientist (monitor and He-3)</w:t>
      </w:r>
    </w:p>
    <w:p w14:paraId="6F4CA218" w14:textId="77777777" w:rsidR="00DF3BA1" w:rsidRDefault="00DF3BA1" w:rsidP="00D23FD6">
      <w:pPr>
        <w:pStyle w:val="ListParagraph"/>
        <w:numPr>
          <w:ilvl w:val="0"/>
          <w:numId w:val="33"/>
        </w:numPr>
      </w:pPr>
      <w:r>
        <w:t>50 % EC/DC NICOS and EFU assistance</w:t>
      </w:r>
    </w:p>
    <w:p w14:paraId="69F35818" w14:textId="7373D700" w:rsidR="00DF3BA1" w:rsidRDefault="00DF3BA1" w:rsidP="00D23FD6">
      <w:pPr>
        <w:pStyle w:val="ListParagraph"/>
        <w:numPr>
          <w:ilvl w:val="0"/>
          <w:numId w:val="33"/>
        </w:numPr>
      </w:pPr>
      <w:r>
        <w:t>50 % Motion control engineer</w:t>
      </w:r>
    </w:p>
    <w:p w14:paraId="1AF489DC" w14:textId="00EB6552" w:rsidR="007011B3" w:rsidRDefault="007011B3" w:rsidP="00D23FD6">
      <w:pPr>
        <w:pStyle w:val="ListParagraph"/>
        <w:numPr>
          <w:ilvl w:val="0"/>
          <w:numId w:val="33"/>
        </w:numPr>
      </w:pPr>
      <w:r>
        <w:t>30 % Technicia</w:t>
      </w:r>
      <w:r w:rsidR="0058724F">
        <w:t>n</w:t>
      </w:r>
    </w:p>
    <w:p w14:paraId="68E0296E" w14:textId="1EDB17DC" w:rsidR="009A07D0" w:rsidRDefault="009A07D0" w:rsidP="009A07D0">
      <w:pPr>
        <w:rPr>
          <w:b/>
          <w:bCs/>
        </w:rPr>
      </w:pPr>
      <w:r w:rsidRPr="009A07D0">
        <w:rPr>
          <w:b/>
          <w:bCs/>
        </w:rPr>
        <w:t xml:space="preserve">For the </w:t>
      </w:r>
      <w:r>
        <w:rPr>
          <w:b/>
          <w:bCs/>
        </w:rPr>
        <w:t>benchmarking</w:t>
      </w:r>
      <w:r w:rsidR="0058724F">
        <w:rPr>
          <w:b/>
          <w:bCs/>
        </w:rPr>
        <w:t xml:space="preserve"> and early science</w:t>
      </w:r>
      <w:r w:rsidRPr="009A07D0">
        <w:rPr>
          <w:b/>
          <w:bCs/>
        </w:rPr>
        <w:t>, we need</w:t>
      </w:r>
      <w:r>
        <w:rPr>
          <w:b/>
          <w:bCs/>
        </w:rPr>
        <w:t xml:space="preserve"> only the core team and external collaborators</w:t>
      </w:r>
    </w:p>
    <w:p w14:paraId="6E5FA804" w14:textId="3D92BDE1" w:rsidR="00935B8D" w:rsidRDefault="00935B8D" w:rsidP="00935B8D">
      <w:r>
        <w:t xml:space="preserve">Total duration of hot commissioning is </w:t>
      </w:r>
      <w:r w:rsidR="0058724F">
        <w:t>about 1 year</w:t>
      </w:r>
      <w:r>
        <w:t xml:space="preserve"> – depending on weekend work. </w:t>
      </w:r>
    </w:p>
    <w:p w14:paraId="79313B8F" w14:textId="40E98ABC" w:rsidR="00935B8D" w:rsidRDefault="00935B8D" w:rsidP="00935B8D">
      <w:r>
        <w:t>A normal working year in Sweden is</w:t>
      </w:r>
      <w:r w:rsidR="0058724F">
        <w:t xml:space="preserve"> around 45 working weeks</w:t>
      </w:r>
      <w:r>
        <w:t xml:space="preserve"> (taking holidays</w:t>
      </w:r>
      <w:r w:rsidR="0058724F">
        <w:t>, vacation etc</w:t>
      </w:r>
      <w:r>
        <w:t xml:space="preserve"> into account), so we require</w:t>
      </w:r>
    </w:p>
    <w:p w14:paraId="6B2AC815" w14:textId="60EF96EA" w:rsidR="00935B8D" w:rsidRPr="00935B8D" w:rsidRDefault="0058724F" w:rsidP="007E5F56">
      <w:pPr>
        <w:pBdr>
          <w:top w:val="single" w:sz="4" w:space="1" w:color="auto"/>
          <w:left w:val="single" w:sz="4" w:space="4" w:color="auto"/>
          <w:bottom w:val="single" w:sz="4" w:space="1" w:color="auto"/>
          <w:right w:val="single" w:sz="4" w:space="4" w:color="auto"/>
        </w:pBdr>
        <w:rPr>
          <w:b/>
          <w:bCs/>
          <w:i/>
          <w:iCs/>
        </w:rPr>
      </w:pPr>
      <w:r>
        <w:rPr>
          <w:b/>
          <w:bCs/>
          <w:i/>
          <w:iCs/>
        </w:rPr>
        <w:t>6</w:t>
      </w:r>
      <w:r w:rsidR="00935B8D" w:rsidRPr="00935B8D">
        <w:rPr>
          <w:b/>
          <w:bCs/>
          <w:i/>
          <w:iCs/>
        </w:rPr>
        <w:t xml:space="preserve"> months of detector scientist (</w:t>
      </w:r>
      <w:r w:rsidR="003362B1">
        <w:rPr>
          <w:b/>
          <w:bCs/>
          <w:i/>
          <w:iCs/>
        </w:rPr>
        <w:t>3</w:t>
      </w:r>
      <w:r w:rsidR="003362B1" w:rsidRPr="00935B8D">
        <w:rPr>
          <w:b/>
          <w:bCs/>
          <w:i/>
          <w:iCs/>
        </w:rPr>
        <w:t>-month</w:t>
      </w:r>
      <w:r w:rsidR="00935B8D" w:rsidRPr="00935B8D">
        <w:rPr>
          <w:b/>
          <w:bCs/>
          <w:i/>
          <w:iCs/>
        </w:rPr>
        <w:t xml:space="preserve"> monitor, </w:t>
      </w:r>
      <w:r>
        <w:rPr>
          <w:b/>
          <w:bCs/>
          <w:i/>
          <w:iCs/>
        </w:rPr>
        <w:t>3</w:t>
      </w:r>
      <w:r w:rsidR="003362B1">
        <w:rPr>
          <w:b/>
          <w:bCs/>
          <w:i/>
          <w:iCs/>
        </w:rPr>
        <w:t>-</w:t>
      </w:r>
      <w:r w:rsidR="00935B8D" w:rsidRPr="00935B8D">
        <w:rPr>
          <w:b/>
          <w:bCs/>
          <w:i/>
          <w:iCs/>
        </w:rPr>
        <w:t>month He-3)</w:t>
      </w:r>
    </w:p>
    <w:p w14:paraId="35C77AEB" w14:textId="48B0FBFC" w:rsidR="00935B8D" w:rsidRPr="00935B8D" w:rsidRDefault="0058724F" w:rsidP="007E5F56">
      <w:pPr>
        <w:pBdr>
          <w:top w:val="single" w:sz="4" w:space="1" w:color="auto"/>
          <w:left w:val="single" w:sz="4" w:space="4" w:color="auto"/>
          <w:bottom w:val="single" w:sz="4" w:space="1" w:color="auto"/>
          <w:right w:val="single" w:sz="4" w:space="4" w:color="auto"/>
        </w:pBdr>
        <w:rPr>
          <w:b/>
          <w:bCs/>
          <w:i/>
          <w:iCs/>
        </w:rPr>
      </w:pPr>
      <w:r>
        <w:rPr>
          <w:b/>
          <w:bCs/>
          <w:i/>
          <w:iCs/>
        </w:rPr>
        <w:t>6</w:t>
      </w:r>
      <w:r w:rsidR="00935B8D" w:rsidRPr="00935B8D">
        <w:rPr>
          <w:b/>
          <w:bCs/>
          <w:i/>
          <w:iCs/>
        </w:rPr>
        <w:t xml:space="preserve"> months ECDC – NICOS and EFU</w:t>
      </w:r>
    </w:p>
    <w:p w14:paraId="1314CF12" w14:textId="1EA60ACC" w:rsidR="00935B8D" w:rsidRPr="00935B8D" w:rsidRDefault="00935B8D" w:rsidP="007E5F56">
      <w:pPr>
        <w:pBdr>
          <w:top w:val="single" w:sz="4" w:space="1" w:color="auto"/>
          <w:left w:val="single" w:sz="4" w:space="4" w:color="auto"/>
          <w:bottom w:val="single" w:sz="4" w:space="1" w:color="auto"/>
          <w:right w:val="single" w:sz="4" w:space="4" w:color="auto"/>
        </w:pBdr>
        <w:rPr>
          <w:b/>
          <w:bCs/>
          <w:i/>
          <w:iCs/>
        </w:rPr>
      </w:pPr>
      <w:r w:rsidRPr="00935B8D">
        <w:rPr>
          <w:b/>
          <w:bCs/>
          <w:i/>
          <w:iCs/>
        </w:rPr>
        <w:t>3 months chopper engineer</w:t>
      </w:r>
    </w:p>
    <w:p w14:paraId="0420BCEA" w14:textId="3EE7E50D" w:rsidR="00935B8D" w:rsidRDefault="00935B8D" w:rsidP="007E5F56">
      <w:pPr>
        <w:pBdr>
          <w:top w:val="single" w:sz="4" w:space="1" w:color="auto"/>
          <w:left w:val="single" w:sz="4" w:space="4" w:color="auto"/>
          <w:bottom w:val="single" w:sz="4" w:space="1" w:color="auto"/>
          <w:right w:val="single" w:sz="4" w:space="4" w:color="auto"/>
        </w:pBdr>
        <w:rPr>
          <w:b/>
          <w:bCs/>
          <w:i/>
          <w:iCs/>
        </w:rPr>
      </w:pPr>
      <w:r w:rsidRPr="00935B8D">
        <w:rPr>
          <w:b/>
          <w:bCs/>
          <w:i/>
          <w:iCs/>
        </w:rPr>
        <w:t>3 months MCA engineer</w:t>
      </w:r>
    </w:p>
    <w:p w14:paraId="1184764D" w14:textId="08527EE7" w:rsidR="00935B8D" w:rsidRPr="00DB4892" w:rsidRDefault="0058724F" w:rsidP="007E5F56">
      <w:pPr>
        <w:pBdr>
          <w:top w:val="single" w:sz="4" w:space="1" w:color="auto"/>
          <w:left w:val="single" w:sz="4" w:space="4" w:color="auto"/>
          <w:bottom w:val="single" w:sz="4" w:space="1" w:color="auto"/>
          <w:right w:val="single" w:sz="4" w:space="4" w:color="auto"/>
        </w:pBdr>
        <w:rPr>
          <w:b/>
          <w:bCs/>
          <w:i/>
          <w:iCs/>
        </w:rPr>
      </w:pPr>
      <w:r>
        <w:rPr>
          <w:b/>
          <w:bCs/>
          <w:i/>
          <w:iCs/>
        </w:rPr>
        <w:t>7</w:t>
      </w:r>
      <w:r w:rsidR="007011B3">
        <w:rPr>
          <w:b/>
          <w:bCs/>
          <w:i/>
          <w:iCs/>
        </w:rPr>
        <w:t xml:space="preserve"> months technician</w:t>
      </w:r>
      <w:r w:rsidR="00935B8D">
        <w:tab/>
      </w:r>
    </w:p>
    <w:p w14:paraId="68DE7B05" w14:textId="66025BFA" w:rsidR="002929B9" w:rsidRDefault="00935B8D" w:rsidP="00B2793B">
      <w:pPr>
        <w:pStyle w:val="Heading1"/>
      </w:pPr>
      <w:bookmarkStart w:id="107" w:name="_Toc199928668"/>
      <w:r>
        <w:t>R</w:t>
      </w:r>
      <w:r w:rsidR="002929B9">
        <w:t xml:space="preserve">egular </w:t>
      </w:r>
      <w:r w:rsidR="002929B9" w:rsidRPr="00B2793B">
        <w:t>calibration</w:t>
      </w:r>
      <w:r w:rsidR="002929B9">
        <w:t xml:space="preserve"> procedure</w:t>
      </w:r>
      <w:bookmarkEnd w:id="107"/>
      <w:r w:rsidR="002929B9">
        <w:t xml:space="preserve"> </w:t>
      </w:r>
    </w:p>
    <w:p w14:paraId="2EC2E327" w14:textId="69F8D65D" w:rsidR="00935B8D" w:rsidRPr="00935B8D" w:rsidRDefault="00935B8D" w:rsidP="00935B8D">
      <w:r>
        <w:t>Below follows a propose</w:t>
      </w:r>
      <w:r w:rsidR="00DA75F1">
        <w:t>d</w:t>
      </w:r>
      <w:r>
        <w:t xml:space="preserve"> regular calibration procedure. The estimate here is subject to change. We will monitor the instrument intensely in the first years, becoming more efficient </w:t>
      </w:r>
      <w:r w:rsidR="003362B1">
        <w:t>later</w:t>
      </w:r>
      <w:r>
        <w:t xml:space="preserve">, as we learn where the weaknesses are. </w:t>
      </w:r>
    </w:p>
    <w:p w14:paraId="71790020" w14:textId="00EFED53" w:rsidR="004877A5" w:rsidRPr="00D455E3" w:rsidRDefault="004877A5" w:rsidP="00B2793B">
      <w:pPr>
        <w:pStyle w:val="Heading2"/>
      </w:pPr>
      <w:bookmarkStart w:id="108" w:name="_Toc199928669"/>
      <w:r w:rsidRPr="00D455E3">
        <w:t>In case of major problems with guide</w:t>
      </w:r>
      <w:bookmarkEnd w:id="108"/>
    </w:p>
    <w:p w14:paraId="68DAC518" w14:textId="1724DBD0" w:rsidR="004877A5" w:rsidRPr="00D455E3" w:rsidRDefault="004877A5" w:rsidP="00D23FD6">
      <w:pPr>
        <w:pStyle w:val="ListParagraph"/>
        <w:numPr>
          <w:ilvl w:val="0"/>
          <w:numId w:val="37"/>
        </w:numPr>
      </w:pPr>
      <w:r w:rsidRPr="00D455E3">
        <w:t xml:space="preserve">Repeat </w:t>
      </w:r>
      <w:r w:rsidR="00D455E3" w:rsidRPr="00D455E3">
        <w:fldChar w:fldCharType="begin"/>
      </w:r>
      <w:r w:rsidR="00D455E3" w:rsidRPr="00D455E3">
        <w:instrText xml:space="preserve"> REF _Ref199928415 \w \h </w:instrText>
      </w:r>
      <w:r w:rsidR="00D455E3">
        <w:instrText xml:space="preserve"> \* MERGEFORMAT </w:instrText>
      </w:r>
      <w:r w:rsidR="00D455E3" w:rsidRPr="00D455E3">
        <w:fldChar w:fldCharType="separate"/>
      </w:r>
      <w:r w:rsidR="00D455E3" w:rsidRPr="00D455E3">
        <w:t>3.6.7</w:t>
      </w:r>
      <w:r w:rsidR="00D455E3" w:rsidRPr="00D455E3">
        <w:fldChar w:fldCharType="end"/>
      </w:r>
    </w:p>
    <w:p w14:paraId="57B18D72" w14:textId="539E0D81" w:rsidR="004877A5" w:rsidRPr="00D455E3" w:rsidRDefault="004877A5" w:rsidP="00B2793B">
      <w:pPr>
        <w:pStyle w:val="Heading2"/>
      </w:pPr>
      <w:bookmarkStart w:id="109" w:name="_Toc199928670"/>
      <w:r w:rsidRPr="00D455E3">
        <w:lastRenderedPageBreak/>
        <w:t>Yearly</w:t>
      </w:r>
      <w:bookmarkEnd w:id="109"/>
    </w:p>
    <w:p w14:paraId="5BFDC222" w14:textId="7C1185F0" w:rsidR="004877A5" w:rsidRPr="00D455E3" w:rsidRDefault="004877A5" w:rsidP="00D23FD6">
      <w:pPr>
        <w:pStyle w:val="ListParagraph"/>
        <w:numPr>
          <w:ilvl w:val="0"/>
          <w:numId w:val="36"/>
        </w:numPr>
      </w:pPr>
      <w:r w:rsidRPr="00D455E3">
        <w:t xml:space="preserve">Repeat </w:t>
      </w:r>
      <w:r w:rsidR="00D455E3" w:rsidRPr="00D455E3">
        <w:fldChar w:fldCharType="begin"/>
      </w:r>
      <w:r w:rsidR="00D455E3" w:rsidRPr="00D455E3">
        <w:instrText xml:space="preserve"> REF _Ref199928433 \w \h </w:instrText>
      </w:r>
      <w:r w:rsidR="00D455E3">
        <w:instrText xml:space="preserve"> \* MERGEFORMAT </w:instrText>
      </w:r>
      <w:r w:rsidR="00D455E3" w:rsidRPr="00D455E3">
        <w:fldChar w:fldCharType="separate"/>
      </w:r>
      <w:r w:rsidR="00D455E3" w:rsidRPr="00D455E3">
        <w:t>3.7.1</w:t>
      </w:r>
      <w:r w:rsidR="00D455E3" w:rsidRPr="00D455E3">
        <w:fldChar w:fldCharType="end"/>
      </w:r>
    </w:p>
    <w:p w14:paraId="69AA7C5E" w14:textId="474C3E0D" w:rsidR="005867BE" w:rsidRPr="00D455E3" w:rsidRDefault="005867BE" w:rsidP="00D23FD6">
      <w:pPr>
        <w:pStyle w:val="ListParagraph"/>
        <w:numPr>
          <w:ilvl w:val="0"/>
          <w:numId w:val="36"/>
        </w:numPr>
      </w:pPr>
      <w:r w:rsidRPr="00D455E3">
        <w:t xml:space="preserve">Repeat </w:t>
      </w:r>
      <w:r w:rsidR="00D455E3" w:rsidRPr="00D455E3">
        <w:fldChar w:fldCharType="begin"/>
      </w:r>
      <w:r w:rsidR="00D455E3" w:rsidRPr="00D455E3">
        <w:instrText xml:space="preserve"> REF _Ref199928445 \w \h </w:instrText>
      </w:r>
      <w:r w:rsidR="00D455E3">
        <w:instrText xml:space="preserve"> \* MERGEFORMAT </w:instrText>
      </w:r>
      <w:r w:rsidR="00D455E3" w:rsidRPr="00D455E3">
        <w:fldChar w:fldCharType="separate"/>
      </w:r>
      <w:r w:rsidR="00D455E3" w:rsidRPr="00D455E3">
        <w:t>3.7.3</w:t>
      </w:r>
      <w:r w:rsidR="00D455E3" w:rsidRPr="00D455E3">
        <w:fldChar w:fldCharType="end"/>
      </w:r>
    </w:p>
    <w:p w14:paraId="304F9027" w14:textId="4828938E" w:rsidR="004877A5" w:rsidRPr="00D455E3" w:rsidRDefault="004877A5" w:rsidP="00B2793B">
      <w:pPr>
        <w:pStyle w:val="Heading2"/>
      </w:pPr>
      <w:bookmarkStart w:id="110" w:name="_Toc199928671"/>
      <w:r w:rsidRPr="00D455E3">
        <w:t>Biannualy</w:t>
      </w:r>
      <w:bookmarkEnd w:id="110"/>
      <w:r w:rsidRPr="00D455E3">
        <w:t xml:space="preserve"> </w:t>
      </w:r>
    </w:p>
    <w:p w14:paraId="73110895" w14:textId="1F87CA57" w:rsidR="004877A5" w:rsidRPr="00D455E3" w:rsidRDefault="004877A5" w:rsidP="00D23FD6">
      <w:pPr>
        <w:pStyle w:val="ListParagraph"/>
        <w:numPr>
          <w:ilvl w:val="0"/>
          <w:numId w:val="34"/>
        </w:numPr>
      </w:pPr>
      <w:r w:rsidRPr="00D455E3">
        <w:t>Flux measurement – compare He-3 tube measurement, proton current and fission monitor count rate</w:t>
      </w:r>
    </w:p>
    <w:p w14:paraId="019E079C" w14:textId="75F734AF" w:rsidR="004877A5" w:rsidRPr="00D455E3" w:rsidRDefault="004877A5" w:rsidP="00D23FD6">
      <w:pPr>
        <w:pStyle w:val="ListParagraph"/>
        <w:numPr>
          <w:ilvl w:val="0"/>
          <w:numId w:val="34"/>
        </w:numPr>
      </w:pPr>
      <w:r w:rsidRPr="00D455E3">
        <w:t>Primary flight path calibration</w:t>
      </w:r>
    </w:p>
    <w:p w14:paraId="3436268F" w14:textId="56885B6F" w:rsidR="004877A5" w:rsidRPr="00D455E3" w:rsidRDefault="004877A5" w:rsidP="00D23FD6">
      <w:pPr>
        <w:pStyle w:val="ListParagraph"/>
        <w:numPr>
          <w:ilvl w:val="0"/>
          <w:numId w:val="34"/>
        </w:numPr>
      </w:pPr>
      <w:r w:rsidRPr="00D455E3">
        <w:t>T</w:t>
      </w:r>
      <w:r w:rsidRPr="00D455E3">
        <w:rPr>
          <w:vertAlign w:val="subscript"/>
        </w:rPr>
        <w:t>0</w:t>
      </w:r>
      <w:r w:rsidRPr="00D455E3">
        <w:t xml:space="preserve"> calibration</w:t>
      </w:r>
    </w:p>
    <w:p w14:paraId="55B5B68C" w14:textId="52F547EC" w:rsidR="004877A5" w:rsidRPr="00D455E3" w:rsidRDefault="004877A5" w:rsidP="00D23FD6">
      <w:pPr>
        <w:pStyle w:val="ListParagraph"/>
        <w:numPr>
          <w:ilvl w:val="0"/>
          <w:numId w:val="34"/>
        </w:numPr>
      </w:pPr>
      <w:r w:rsidRPr="00D455E3">
        <w:t xml:space="preserve">Repeat </w:t>
      </w:r>
      <w:r w:rsidR="00D455E3" w:rsidRPr="00D455E3">
        <w:fldChar w:fldCharType="begin"/>
      </w:r>
      <w:r w:rsidR="00D455E3" w:rsidRPr="00D455E3">
        <w:instrText xml:space="preserve"> REF _Ref199928457 \w \h </w:instrText>
      </w:r>
      <w:r w:rsidR="00D455E3">
        <w:instrText xml:space="preserve"> \* MERGEFORMAT </w:instrText>
      </w:r>
      <w:r w:rsidR="00D455E3" w:rsidRPr="00D455E3">
        <w:fldChar w:fldCharType="separate"/>
      </w:r>
      <w:r w:rsidR="00D455E3" w:rsidRPr="00D455E3">
        <w:t>3.7.2</w:t>
      </w:r>
      <w:r w:rsidR="00D455E3" w:rsidRPr="00D455E3">
        <w:fldChar w:fldCharType="end"/>
      </w:r>
    </w:p>
    <w:p w14:paraId="3C0FA60C" w14:textId="53498DA5" w:rsidR="004877A5" w:rsidRPr="00D455E3" w:rsidRDefault="004877A5" w:rsidP="00B2793B">
      <w:pPr>
        <w:pStyle w:val="Heading2"/>
      </w:pPr>
      <w:r w:rsidRPr="00D455E3">
        <w:t xml:space="preserve"> </w:t>
      </w:r>
      <w:bookmarkStart w:id="111" w:name="_Toc199928672"/>
      <w:r w:rsidRPr="00D455E3">
        <w:t>Every cycle</w:t>
      </w:r>
      <w:bookmarkEnd w:id="111"/>
    </w:p>
    <w:p w14:paraId="357677C4" w14:textId="2430AAA5" w:rsidR="002929B9" w:rsidRDefault="004877A5" w:rsidP="00D23FD6">
      <w:pPr>
        <w:pStyle w:val="ListParagraph"/>
        <w:numPr>
          <w:ilvl w:val="0"/>
          <w:numId w:val="35"/>
        </w:numPr>
      </w:pPr>
      <w:r>
        <w:t xml:space="preserve">A4 calibration using powder peaks on </w:t>
      </w:r>
    </w:p>
    <w:p w14:paraId="6B5A4277" w14:textId="509C280F" w:rsidR="00824C3E" w:rsidRPr="0055182C" w:rsidRDefault="004877A5" w:rsidP="00D23FD6">
      <w:pPr>
        <w:pStyle w:val="ListParagraph"/>
        <w:numPr>
          <w:ilvl w:val="0"/>
          <w:numId w:val="35"/>
        </w:numPr>
      </w:pPr>
      <w:r>
        <w:t>Vanadium normalization</w:t>
      </w:r>
    </w:p>
    <w:p w14:paraId="00B4AD0B" w14:textId="77777777" w:rsidR="00590145" w:rsidRPr="00B54E4A" w:rsidRDefault="00590145" w:rsidP="00413E89">
      <w:pPr>
        <w:pStyle w:val="Heading1"/>
      </w:pPr>
      <w:bookmarkStart w:id="112" w:name="_Toc30500568"/>
      <w:bookmarkStart w:id="113" w:name="_Toc199928673"/>
      <w:r w:rsidRPr="00413E89">
        <w:t>references</w:t>
      </w:r>
      <w:bookmarkEnd w:id="112"/>
      <w:bookmarkEnd w:id="113"/>
    </w:p>
    <w:p w14:paraId="160B6C5A" w14:textId="49F579E0" w:rsidR="00DB1A57" w:rsidRPr="00413E89" w:rsidRDefault="00DB1A57" w:rsidP="00D70B48">
      <w:pPr>
        <w:pStyle w:val="ListParagraph"/>
        <w:numPr>
          <w:ilvl w:val="0"/>
          <w:numId w:val="2"/>
        </w:numPr>
        <w:rPr>
          <w:rFonts w:cs="Segoe UI Historic"/>
        </w:rPr>
      </w:pPr>
      <w:bookmarkStart w:id="114" w:name="_Ref199934078"/>
      <w:r w:rsidRPr="009F6695">
        <w:rPr>
          <w:rFonts w:cs="Segoe UI Historic"/>
        </w:rPr>
        <w:t>NSS Guideline for Instrument Construction Projects – Integrated Testing (Cold Commissioning) and System Acceptance Review (Tollgate 5)</w:t>
      </w:r>
      <w:r w:rsidR="009F6695" w:rsidRPr="009F6695">
        <w:rPr>
          <w:rFonts w:cs="Segoe UI Historic"/>
        </w:rPr>
        <w:t xml:space="preserve"> (</w:t>
      </w:r>
      <w:hyperlink r:id="rId48" w:history="1">
        <w:r w:rsidR="009F6695" w:rsidRPr="00413E89">
          <w:rPr>
            <w:rStyle w:val="Hyperlink"/>
            <w:rFonts w:cs="Segoe UI Historic"/>
          </w:rPr>
          <w:t>ESS-0177447</w:t>
        </w:r>
      </w:hyperlink>
      <w:r w:rsidR="009F6695">
        <w:rPr>
          <w:rFonts w:cs="Segoe UI Historic"/>
        </w:rPr>
        <w:t>)</w:t>
      </w:r>
      <w:bookmarkEnd w:id="114"/>
    </w:p>
    <w:p w14:paraId="1701C198" w14:textId="3BEE61E1" w:rsidR="0013576E" w:rsidRPr="00413E89" w:rsidRDefault="0013576E" w:rsidP="00D70B48">
      <w:pPr>
        <w:pStyle w:val="ListParagraph"/>
        <w:numPr>
          <w:ilvl w:val="0"/>
          <w:numId w:val="2"/>
        </w:numPr>
        <w:rPr>
          <w:rFonts w:cs="Segoe UI Historic"/>
        </w:rPr>
      </w:pPr>
      <w:bookmarkStart w:id="115" w:name="_Ref199934059"/>
      <w:r w:rsidRPr="00413E89">
        <w:rPr>
          <w:rFonts w:cs="Segoe UI Historic"/>
        </w:rPr>
        <w:t>BIFROST Concepts of Operation</w:t>
      </w:r>
      <w:r w:rsidR="00C311B3">
        <w:rPr>
          <w:rFonts w:cs="Segoe UI Historic"/>
        </w:rPr>
        <w:t xml:space="preserve"> (</w:t>
      </w:r>
      <w:hyperlink r:id="rId49" w:history="1">
        <w:r w:rsidR="00C311B3" w:rsidRPr="00C311B3">
          <w:rPr>
            <w:rStyle w:val="Hyperlink"/>
            <w:rFonts w:cs="Segoe UI Historic"/>
          </w:rPr>
          <w:t>ESS-0135232</w:t>
        </w:r>
      </w:hyperlink>
      <w:r w:rsidR="00C311B3">
        <w:rPr>
          <w:rFonts w:cs="Segoe UI Historic"/>
        </w:rPr>
        <w:t>)</w:t>
      </w:r>
      <w:bookmarkEnd w:id="115"/>
    </w:p>
    <w:p w14:paraId="521D05A5" w14:textId="1E158B6C" w:rsidR="0013576E" w:rsidRPr="00413E89" w:rsidRDefault="00C95C1C" w:rsidP="00D70B48">
      <w:pPr>
        <w:pStyle w:val="ListParagraph"/>
        <w:numPr>
          <w:ilvl w:val="0"/>
          <w:numId w:val="2"/>
        </w:numPr>
        <w:rPr>
          <w:rFonts w:cs="Segoe UI Historic"/>
        </w:rPr>
      </w:pPr>
      <w:bookmarkStart w:id="116" w:name="_Ref199934090"/>
      <w:r w:rsidRPr="00413E89">
        <w:rPr>
          <w:rFonts w:cs="Segoe UI Historic"/>
        </w:rPr>
        <w:t xml:space="preserve">BIFROST </w:t>
      </w:r>
      <w:r w:rsidR="0013576E" w:rsidRPr="00413E89">
        <w:rPr>
          <w:rFonts w:cs="Segoe UI Historic"/>
        </w:rPr>
        <w:t>System Requirement</w:t>
      </w:r>
      <w:r>
        <w:rPr>
          <w:rFonts w:cs="Segoe UI Historic"/>
        </w:rPr>
        <w:t>s</w:t>
      </w:r>
      <w:r w:rsidR="0013576E" w:rsidRPr="00413E89">
        <w:rPr>
          <w:rFonts w:cs="Segoe UI Historic"/>
        </w:rPr>
        <w:t xml:space="preserve"> </w:t>
      </w:r>
      <w:r w:rsidR="00F60CB1">
        <w:rPr>
          <w:rFonts w:cs="Segoe UI Historic"/>
        </w:rPr>
        <w:t>(</w:t>
      </w:r>
      <w:hyperlink r:id="rId50" w:history="1">
        <w:r w:rsidR="00F60CB1" w:rsidRPr="00F60CB1">
          <w:rPr>
            <w:rStyle w:val="Hyperlink"/>
            <w:rFonts w:cs="Segoe UI Historic"/>
          </w:rPr>
          <w:t>ESS-0122343</w:t>
        </w:r>
      </w:hyperlink>
      <w:r w:rsidR="00F60CB1">
        <w:rPr>
          <w:rFonts w:cs="Segoe UI Historic"/>
        </w:rPr>
        <w:t>)</w:t>
      </w:r>
      <w:bookmarkEnd w:id="116"/>
    </w:p>
    <w:p w14:paraId="016B8AC7" w14:textId="62629447" w:rsidR="00143A74" w:rsidRPr="00413E89" w:rsidRDefault="00143A74" w:rsidP="00D70B48">
      <w:pPr>
        <w:pStyle w:val="ListParagraph"/>
        <w:numPr>
          <w:ilvl w:val="0"/>
          <w:numId w:val="2"/>
        </w:numPr>
        <w:rPr>
          <w:rFonts w:cs="Segoe UI Historic"/>
        </w:rPr>
      </w:pPr>
      <w:r w:rsidRPr="00413E89">
        <w:rPr>
          <w:rFonts w:cs="Segoe UI Historic"/>
        </w:rPr>
        <w:t>BIFROST</w:t>
      </w:r>
      <w:r w:rsidR="00FC7292">
        <w:rPr>
          <w:rFonts w:cs="Segoe UI Historic"/>
        </w:rPr>
        <w:t xml:space="preserve"> -</w:t>
      </w:r>
      <w:r w:rsidRPr="00413E89">
        <w:rPr>
          <w:rFonts w:cs="Segoe UI Historic"/>
        </w:rPr>
        <w:t xml:space="preserve"> System Design Description</w:t>
      </w:r>
      <w:r w:rsidR="00FC7292">
        <w:rPr>
          <w:rFonts w:cs="Segoe UI Historic"/>
        </w:rPr>
        <w:t xml:space="preserve"> (</w:t>
      </w:r>
      <w:hyperlink r:id="rId51" w:history="1">
        <w:r w:rsidR="00FC7292" w:rsidRPr="00FC7292">
          <w:rPr>
            <w:rStyle w:val="Hyperlink"/>
            <w:rFonts w:cs="Segoe UI Historic"/>
          </w:rPr>
          <w:t>ESS-1138675</w:t>
        </w:r>
      </w:hyperlink>
      <w:r w:rsidR="00FC7292">
        <w:rPr>
          <w:rFonts w:cs="Segoe UI Historic"/>
        </w:rPr>
        <w:t>)</w:t>
      </w:r>
    </w:p>
    <w:p w14:paraId="3011932F" w14:textId="7D3A3893" w:rsidR="00707527" w:rsidRPr="00413E89" w:rsidRDefault="00707527" w:rsidP="00030259">
      <w:pPr>
        <w:pStyle w:val="ListParagraph"/>
        <w:numPr>
          <w:ilvl w:val="0"/>
          <w:numId w:val="2"/>
        </w:numPr>
        <w:rPr>
          <w:rFonts w:cs="Segoe UI Historic"/>
        </w:rPr>
      </w:pPr>
      <w:r w:rsidRPr="00413E89">
        <w:rPr>
          <w:rFonts w:cs="Segoe UI Historic"/>
        </w:rPr>
        <w:t xml:space="preserve">H1 and H2 scenarios for </w:t>
      </w:r>
      <w:r w:rsidR="00B16508">
        <w:rPr>
          <w:rFonts w:cs="Segoe UI Historic"/>
        </w:rPr>
        <w:t xml:space="preserve">the </w:t>
      </w:r>
      <w:r w:rsidR="00B74D0C">
        <w:rPr>
          <w:rFonts w:cs="Segoe UI Historic"/>
        </w:rPr>
        <w:t>radiation shielding</w:t>
      </w:r>
      <w:r w:rsidR="00B16508">
        <w:rPr>
          <w:rFonts w:cs="Segoe UI Historic"/>
        </w:rPr>
        <w:t xml:space="preserve"> of </w:t>
      </w:r>
      <w:r w:rsidR="00B16508" w:rsidRPr="00413E89">
        <w:rPr>
          <w:rFonts w:cs="Segoe UI Historic"/>
        </w:rPr>
        <w:t>BIFROS</w:t>
      </w:r>
      <w:r w:rsidR="00B16508">
        <w:rPr>
          <w:rFonts w:cs="Segoe UI Historic"/>
        </w:rPr>
        <w:t>T</w:t>
      </w:r>
      <w:r w:rsidR="00B74D0C">
        <w:rPr>
          <w:rFonts w:cs="Segoe UI Historic"/>
        </w:rPr>
        <w:t xml:space="preserve"> (</w:t>
      </w:r>
      <w:hyperlink r:id="rId52" w:history="1">
        <w:r w:rsidR="00B74D0C" w:rsidRPr="00B74D0C">
          <w:rPr>
            <w:rStyle w:val="Hyperlink"/>
            <w:rFonts w:cs="Segoe UI Historic"/>
          </w:rPr>
          <w:t>ESS-1417912</w:t>
        </w:r>
      </w:hyperlink>
      <w:r w:rsidR="00B74D0C">
        <w:rPr>
          <w:rFonts w:cs="Segoe UI Historic"/>
        </w:rPr>
        <w:t>)</w:t>
      </w:r>
    </w:p>
    <w:p w14:paraId="42C262B7" w14:textId="6D6CD18D" w:rsidR="00030259" w:rsidRPr="00413E89" w:rsidRDefault="00470B36" w:rsidP="00030259">
      <w:pPr>
        <w:pStyle w:val="ListParagraph"/>
        <w:numPr>
          <w:ilvl w:val="0"/>
          <w:numId w:val="2"/>
        </w:numPr>
        <w:rPr>
          <w:rFonts w:cs="Segoe UI Historic"/>
        </w:rPr>
      </w:pPr>
      <w:r w:rsidRPr="00470B36">
        <w:rPr>
          <w:rFonts w:cs="Segoe UI Historic"/>
        </w:rPr>
        <w:t xml:space="preserve">BIFROST Guide Shielding Neutronics Simulations </w:t>
      </w:r>
      <w:r w:rsidR="00715ED0">
        <w:rPr>
          <w:rFonts w:cs="Segoe UI Historic"/>
        </w:rPr>
        <w:t>(</w:t>
      </w:r>
      <w:hyperlink r:id="rId53" w:history="1">
        <w:r w:rsidR="00715ED0" w:rsidRPr="00715ED0">
          <w:rPr>
            <w:rStyle w:val="Hyperlink"/>
            <w:rFonts w:cs="Segoe UI Historic"/>
          </w:rPr>
          <w:t>ESS-2727570</w:t>
        </w:r>
      </w:hyperlink>
      <w:r w:rsidR="00715ED0">
        <w:rPr>
          <w:rFonts w:cs="Segoe UI Historic"/>
        </w:rPr>
        <w:t>)</w:t>
      </w:r>
    </w:p>
    <w:p w14:paraId="19FCA1B0" w14:textId="57D59BC6" w:rsidR="00030259" w:rsidRDefault="00925BAB" w:rsidP="00030259">
      <w:pPr>
        <w:pStyle w:val="ListParagraph"/>
        <w:numPr>
          <w:ilvl w:val="0"/>
          <w:numId w:val="2"/>
        </w:numPr>
        <w:rPr>
          <w:rFonts w:cs="Segoe UI Historic"/>
        </w:rPr>
      </w:pPr>
      <w:r w:rsidRPr="00925BAB">
        <w:rPr>
          <w:rFonts w:cs="Segoe UI Historic"/>
        </w:rPr>
        <w:t xml:space="preserve">BIFROST Cave neutronics - submitted </w:t>
      </w:r>
      <w:r w:rsidR="00F21DEF">
        <w:rPr>
          <w:rFonts w:cs="Segoe UI Historic"/>
        </w:rPr>
        <w:t>(</w:t>
      </w:r>
      <w:hyperlink r:id="rId54" w:history="1">
        <w:r w:rsidR="00F21DEF" w:rsidRPr="00F21DEF">
          <w:rPr>
            <w:rStyle w:val="Hyperlink"/>
            <w:rFonts w:cs="Segoe UI Historic"/>
          </w:rPr>
          <w:t>ESS-2495661</w:t>
        </w:r>
      </w:hyperlink>
      <w:r w:rsidR="00F21DEF">
        <w:rPr>
          <w:rFonts w:cs="Segoe UI Historic"/>
        </w:rPr>
        <w:t>)</w:t>
      </w:r>
    </w:p>
    <w:p w14:paraId="4426D45F" w14:textId="44E165D2" w:rsidR="0058465E" w:rsidRPr="00C14FCE" w:rsidRDefault="00C14FCE" w:rsidP="00030259">
      <w:pPr>
        <w:pStyle w:val="ListParagraph"/>
        <w:numPr>
          <w:ilvl w:val="0"/>
          <w:numId w:val="2"/>
        </w:numPr>
        <w:rPr>
          <w:rFonts w:cs="Segoe UI Historic"/>
        </w:rPr>
      </w:pPr>
      <w:bookmarkStart w:id="117" w:name="_Ref199935167"/>
      <w:r w:rsidRPr="00C14FCE">
        <w:rPr>
          <w:rFonts w:cs="Segoe UI Historic"/>
        </w:rPr>
        <w:t>Integrated test plan for the BIFROST chopper system (</w:t>
      </w:r>
      <w:hyperlink r:id="rId55" w:history="1">
        <w:r w:rsidRPr="00C14FCE">
          <w:rPr>
            <w:rStyle w:val="Hyperlink"/>
            <w:rFonts w:cs="Segoe UI Historic"/>
          </w:rPr>
          <w:t>ESS-5690504</w:t>
        </w:r>
      </w:hyperlink>
      <w:r w:rsidRPr="00C14FCE">
        <w:rPr>
          <w:rFonts w:cs="Segoe UI Historic"/>
          <w:color w:val="000000" w:themeColor="text1"/>
        </w:rPr>
        <w:t>)</w:t>
      </w:r>
      <w:bookmarkEnd w:id="117"/>
    </w:p>
    <w:p w14:paraId="644B8CE5" w14:textId="666202CA" w:rsidR="00C14FCE" w:rsidRPr="007D29F6" w:rsidRDefault="007D29F6" w:rsidP="00030259">
      <w:pPr>
        <w:pStyle w:val="ListParagraph"/>
        <w:numPr>
          <w:ilvl w:val="0"/>
          <w:numId w:val="2"/>
        </w:numPr>
        <w:rPr>
          <w:rFonts w:cs="Segoe UI Historic"/>
        </w:rPr>
      </w:pPr>
      <w:bookmarkStart w:id="118" w:name="_Ref199935181"/>
      <w:r w:rsidRPr="007D29F6">
        <w:rPr>
          <w:rFonts w:cs="Segoe UI Historic"/>
        </w:rPr>
        <w:t xml:space="preserve">Integrated test plan for the BIFROST beam collimation and attenuation system </w:t>
      </w:r>
      <w:r w:rsidR="00CD5A6B" w:rsidRPr="00CD5A6B">
        <w:rPr>
          <w:rFonts w:cs="Segoe UI Historic"/>
        </w:rPr>
        <w:t>(</w:t>
      </w:r>
      <w:hyperlink r:id="rId56" w:history="1">
        <w:r w:rsidR="00CD5A6B" w:rsidRPr="00CD5A6B">
          <w:rPr>
            <w:rStyle w:val="Hyperlink"/>
            <w:rFonts w:cs="Segoe UI Historic"/>
          </w:rPr>
          <w:t>ESS-5690168</w:t>
        </w:r>
      </w:hyperlink>
      <w:r w:rsidR="00CD5A6B" w:rsidRPr="00CD5A6B">
        <w:rPr>
          <w:rFonts w:cs="Segoe UI Historic"/>
          <w:color w:val="000000" w:themeColor="text1"/>
        </w:rPr>
        <w:t>)</w:t>
      </w:r>
      <w:bookmarkEnd w:id="118"/>
    </w:p>
    <w:p w14:paraId="1E3440F5" w14:textId="12CB3646" w:rsidR="007D29F6" w:rsidRPr="003E76D8" w:rsidRDefault="003E76D8" w:rsidP="00030259">
      <w:pPr>
        <w:pStyle w:val="ListParagraph"/>
        <w:numPr>
          <w:ilvl w:val="0"/>
          <w:numId w:val="2"/>
        </w:numPr>
        <w:rPr>
          <w:rFonts w:cs="Segoe UI Historic"/>
        </w:rPr>
      </w:pPr>
      <w:bookmarkStart w:id="119" w:name="_Ref199935196"/>
      <w:r w:rsidRPr="003E76D8">
        <w:rPr>
          <w:rFonts w:cs="Segoe UI Historic"/>
        </w:rPr>
        <w:t xml:space="preserve">Integrated test plan for the BIFROST sample and detector positioning system </w:t>
      </w:r>
      <w:r w:rsidR="002D34CC" w:rsidRPr="002D34CC">
        <w:rPr>
          <w:rFonts w:cs="Segoe UI Historic"/>
        </w:rPr>
        <w:t>(</w:t>
      </w:r>
      <w:hyperlink r:id="rId57" w:history="1">
        <w:r w:rsidR="002D34CC" w:rsidRPr="002D34CC">
          <w:rPr>
            <w:rStyle w:val="Hyperlink"/>
            <w:rFonts w:cs="Segoe UI Historic"/>
          </w:rPr>
          <w:t>ESS-5690169</w:t>
        </w:r>
      </w:hyperlink>
      <w:r w:rsidR="002D34CC" w:rsidRPr="002D34CC">
        <w:rPr>
          <w:rFonts w:cs="Segoe UI Historic"/>
          <w:color w:val="000000" w:themeColor="text1"/>
        </w:rPr>
        <w:t>)</w:t>
      </w:r>
      <w:bookmarkEnd w:id="119"/>
    </w:p>
    <w:p w14:paraId="7832946A" w14:textId="4E16755A" w:rsidR="003E76D8" w:rsidRPr="00D0786F" w:rsidRDefault="00782D86" w:rsidP="00030259">
      <w:pPr>
        <w:pStyle w:val="ListParagraph"/>
        <w:numPr>
          <w:ilvl w:val="0"/>
          <w:numId w:val="2"/>
        </w:numPr>
        <w:rPr>
          <w:rFonts w:cs="Segoe UI Historic"/>
        </w:rPr>
      </w:pPr>
      <w:bookmarkStart w:id="120" w:name="_Ref199935233"/>
      <w:r w:rsidRPr="00782D86">
        <w:rPr>
          <w:rFonts w:cs="Segoe UI Historic"/>
        </w:rPr>
        <w:t xml:space="preserve">Integrated test plan of the BIFROST detector system </w:t>
      </w:r>
      <w:r w:rsidR="00D0786F" w:rsidRPr="00D0786F">
        <w:rPr>
          <w:rFonts w:cs="Segoe UI Historic"/>
        </w:rPr>
        <w:t>(</w:t>
      </w:r>
      <w:hyperlink r:id="rId58" w:history="1">
        <w:r w:rsidR="00D0786F" w:rsidRPr="00D0786F">
          <w:rPr>
            <w:rStyle w:val="Hyperlink"/>
            <w:rFonts w:cs="Segoe UI Historic"/>
          </w:rPr>
          <w:t>ESS-5637422</w:t>
        </w:r>
      </w:hyperlink>
      <w:r w:rsidR="00D0786F" w:rsidRPr="00D0786F">
        <w:rPr>
          <w:rFonts w:cs="Segoe UI Historic"/>
          <w:color w:val="000000" w:themeColor="text1"/>
        </w:rPr>
        <w:t>)</w:t>
      </w:r>
      <w:bookmarkEnd w:id="120"/>
    </w:p>
    <w:p w14:paraId="201E671A" w14:textId="77777777" w:rsidR="00590145" w:rsidRPr="00B54E4A" w:rsidRDefault="00590145" w:rsidP="000628C7">
      <w:pPr>
        <w:pStyle w:val="ListParagraph"/>
        <w:ind w:left="998"/>
        <w:rPr>
          <w:rFonts w:asciiTheme="minorHAnsi" w:hAnsiTheme="minorHAnsi" w:cstheme="minorHAnsi"/>
        </w:rPr>
      </w:pPr>
    </w:p>
    <w:p w14:paraId="49660AE4" w14:textId="77777777" w:rsidR="001C7398" w:rsidRPr="00B54E4A" w:rsidRDefault="001C7398">
      <w:pPr>
        <w:spacing w:after="0"/>
        <w:rPr>
          <w:rFonts w:asciiTheme="minorHAnsi" w:hAnsiTheme="minorHAnsi" w:cstheme="minorHAnsi"/>
        </w:rPr>
      </w:pPr>
    </w:p>
    <w:p w14:paraId="6ABC9A60" w14:textId="77777777" w:rsidR="00C11E3A" w:rsidRPr="00B54E4A" w:rsidRDefault="00C11E3A" w:rsidP="00413E89">
      <w:pPr>
        <w:pStyle w:val="Headingunnumbered"/>
      </w:pPr>
      <w:bookmarkStart w:id="121" w:name="_Toc30500569"/>
      <w:r w:rsidRPr="00413E89">
        <w:t>Document</w:t>
      </w:r>
      <w:r w:rsidRPr="00B54E4A">
        <w:t xml:space="preserve"> Revision history</w:t>
      </w:r>
      <w:bookmarkEnd w:id="121"/>
    </w:p>
    <w:tbl>
      <w:tblPr>
        <w:tblW w:w="5000" w:type="pct"/>
        <w:tblLayout w:type="fixed"/>
        <w:tblCellMar>
          <w:left w:w="70" w:type="dxa"/>
          <w:right w:w="70" w:type="dxa"/>
        </w:tblCellMar>
        <w:tblLook w:val="0000" w:firstRow="0" w:lastRow="0" w:firstColumn="0" w:lastColumn="0" w:noHBand="0" w:noVBand="0"/>
      </w:tblPr>
      <w:tblGrid>
        <w:gridCol w:w="813"/>
        <w:gridCol w:w="4602"/>
        <w:gridCol w:w="2437"/>
        <w:gridCol w:w="1787"/>
      </w:tblGrid>
      <w:tr w:rsidR="00D907E1" w:rsidRPr="00B54E4A" w14:paraId="0A1EF8A9" w14:textId="77777777" w:rsidTr="008204CD">
        <w:trPr>
          <w:cantSplit/>
          <w:tblHeader/>
        </w:trPr>
        <w:tc>
          <w:tcPr>
            <w:tcW w:w="422" w:type="pct"/>
            <w:tcBorders>
              <w:top w:val="single" w:sz="12" w:space="0" w:color="auto"/>
              <w:bottom w:val="single" w:sz="6" w:space="0" w:color="auto"/>
            </w:tcBorders>
            <w:shd w:val="clear" w:color="auto" w:fill="auto"/>
          </w:tcPr>
          <w:p w14:paraId="607B5500" w14:textId="77777777" w:rsidR="009C6F7F" w:rsidRPr="00B54E4A" w:rsidRDefault="009C6F7F" w:rsidP="008E155D">
            <w:pPr>
              <w:pStyle w:val="ESS-TableHeader"/>
              <w:rPr>
                <w:rFonts w:asciiTheme="minorHAnsi" w:hAnsiTheme="minorHAnsi" w:cstheme="minorHAnsi"/>
              </w:rPr>
            </w:pPr>
            <w:r w:rsidRPr="00B54E4A">
              <w:rPr>
                <w:rFonts w:asciiTheme="minorHAnsi" w:hAnsiTheme="minorHAnsi" w:cstheme="minorHAnsi"/>
              </w:rPr>
              <w:t>Revision</w:t>
            </w:r>
          </w:p>
        </w:tc>
        <w:tc>
          <w:tcPr>
            <w:tcW w:w="2387" w:type="pct"/>
            <w:tcBorders>
              <w:top w:val="single" w:sz="12" w:space="0" w:color="auto"/>
              <w:bottom w:val="single" w:sz="6" w:space="0" w:color="auto"/>
            </w:tcBorders>
            <w:shd w:val="clear" w:color="auto" w:fill="auto"/>
          </w:tcPr>
          <w:p w14:paraId="7678D210" w14:textId="77777777" w:rsidR="009C6F7F" w:rsidRPr="00B54E4A" w:rsidRDefault="009C6F7F" w:rsidP="00592EC6">
            <w:pPr>
              <w:pStyle w:val="ESS-TableHeader"/>
              <w:rPr>
                <w:rFonts w:asciiTheme="minorHAnsi" w:hAnsiTheme="minorHAnsi" w:cstheme="minorHAnsi"/>
              </w:rPr>
            </w:pPr>
            <w:r w:rsidRPr="00B54E4A">
              <w:rPr>
                <w:rFonts w:asciiTheme="minorHAnsi" w:hAnsiTheme="minorHAnsi" w:cstheme="minorHAnsi"/>
              </w:rPr>
              <w:t>Reason for and description of change</w:t>
            </w:r>
          </w:p>
        </w:tc>
        <w:tc>
          <w:tcPr>
            <w:tcW w:w="1264" w:type="pct"/>
            <w:tcBorders>
              <w:top w:val="single" w:sz="12" w:space="0" w:color="auto"/>
              <w:bottom w:val="single" w:sz="6" w:space="0" w:color="auto"/>
            </w:tcBorders>
          </w:tcPr>
          <w:p w14:paraId="141FB3B0" w14:textId="77777777" w:rsidR="009C6F7F" w:rsidRPr="00B54E4A" w:rsidRDefault="009C6F7F" w:rsidP="00592EC6">
            <w:pPr>
              <w:pStyle w:val="ESS-TableHeader"/>
              <w:rPr>
                <w:rFonts w:asciiTheme="minorHAnsi" w:hAnsiTheme="minorHAnsi" w:cstheme="minorHAnsi"/>
              </w:rPr>
            </w:pPr>
            <w:r w:rsidRPr="00B54E4A">
              <w:rPr>
                <w:rFonts w:asciiTheme="minorHAnsi" w:hAnsiTheme="minorHAnsi" w:cstheme="minorHAnsi"/>
              </w:rPr>
              <w:t>Author</w:t>
            </w:r>
          </w:p>
        </w:tc>
        <w:tc>
          <w:tcPr>
            <w:tcW w:w="927" w:type="pct"/>
            <w:tcBorders>
              <w:top w:val="single" w:sz="12" w:space="0" w:color="auto"/>
              <w:bottom w:val="single" w:sz="6" w:space="0" w:color="auto"/>
            </w:tcBorders>
          </w:tcPr>
          <w:p w14:paraId="1F3D34CA" w14:textId="77777777" w:rsidR="009C6F7F" w:rsidRPr="00B54E4A" w:rsidRDefault="009C6F7F" w:rsidP="00592EC6">
            <w:pPr>
              <w:pStyle w:val="ESS-TableHeader"/>
              <w:rPr>
                <w:rFonts w:asciiTheme="minorHAnsi" w:hAnsiTheme="minorHAnsi" w:cstheme="minorHAnsi"/>
              </w:rPr>
            </w:pPr>
            <w:r w:rsidRPr="00B54E4A">
              <w:rPr>
                <w:rFonts w:asciiTheme="minorHAnsi" w:hAnsiTheme="minorHAnsi" w:cstheme="minorHAnsi"/>
              </w:rPr>
              <w:t>Date</w:t>
            </w:r>
          </w:p>
        </w:tc>
      </w:tr>
      <w:tr w:rsidR="00D907E1" w:rsidRPr="00B54E4A" w14:paraId="4BDDD2D6" w14:textId="77777777" w:rsidTr="008204CD">
        <w:trPr>
          <w:cantSplit/>
        </w:trPr>
        <w:tc>
          <w:tcPr>
            <w:tcW w:w="422" w:type="pct"/>
            <w:tcBorders>
              <w:top w:val="single" w:sz="6" w:space="0" w:color="auto"/>
            </w:tcBorders>
            <w:shd w:val="clear" w:color="auto" w:fill="auto"/>
          </w:tcPr>
          <w:p w14:paraId="6136259D" w14:textId="77777777" w:rsidR="009C6F7F" w:rsidRPr="00B54E4A" w:rsidRDefault="009C6F7F" w:rsidP="008E155D">
            <w:pPr>
              <w:pStyle w:val="ESS-TableText"/>
              <w:rPr>
                <w:rFonts w:asciiTheme="minorHAnsi" w:hAnsiTheme="minorHAnsi" w:cstheme="minorHAnsi"/>
              </w:rPr>
            </w:pPr>
            <w:r w:rsidRPr="00B54E4A">
              <w:rPr>
                <w:rFonts w:asciiTheme="minorHAnsi" w:hAnsiTheme="minorHAnsi" w:cstheme="minorHAnsi"/>
              </w:rPr>
              <w:t>1</w:t>
            </w:r>
          </w:p>
        </w:tc>
        <w:tc>
          <w:tcPr>
            <w:tcW w:w="2387" w:type="pct"/>
            <w:tcBorders>
              <w:top w:val="single" w:sz="6" w:space="0" w:color="auto"/>
            </w:tcBorders>
            <w:shd w:val="clear" w:color="auto" w:fill="auto"/>
          </w:tcPr>
          <w:p w14:paraId="754DD70B" w14:textId="77777777" w:rsidR="009C6F7F" w:rsidRPr="00B54E4A" w:rsidRDefault="009C6F7F" w:rsidP="008E155D">
            <w:pPr>
              <w:pStyle w:val="ESS-TableText"/>
              <w:rPr>
                <w:rFonts w:asciiTheme="minorHAnsi" w:hAnsiTheme="minorHAnsi" w:cstheme="minorHAnsi"/>
              </w:rPr>
            </w:pPr>
            <w:r w:rsidRPr="00B54E4A">
              <w:rPr>
                <w:rFonts w:asciiTheme="minorHAnsi" w:hAnsiTheme="minorHAnsi" w:cstheme="minorHAnsi"/>
              </w:rPr>
              <w:t>First issue</w:t>
            </w:r>
          </w:p>
        </w:tc>
        <w:tc>
          <w:tcPr>
            <w:tcW w:w="1264" w:type="pct"/>
            <w:tcBorders>
              <w:top w:val="single" w:sz="6" w:space="0" w:color="auto"/>
            </w:tcBorders>
          </w:tcPr>
          <w:p w14:paraId="463FA720" w14:textId="703EC7F4" w:rsidR="009C6F7F" w:rsidRPr="00E643CA" w:rsidRDefault="00E643CA" w:rsidP="008E155D">
            <w:pPr>
              <w:pStyle w:val="ESS-TableText"/>
              <w:rPr>
                <w:rFonts w:asciiTheme="minorHAnsi" w:hAnsiTheme="minorHAnsi" w:cstheme="minorHAnsi"/>
                <w:szCs w:val="18"/>
              </w:rPr>
            </w:pPr>
            <w:r w:rsidRPr="00E643CA">
              <w:rPr>
                <w:rFonts w:cs="Segoe UI Historic"/>
                <w:szCs w:val="18"/>
              </w:rPr>
              <w:t>Rasmus Toft-Petersen</w:t>
            </w:r>
          </w:p>
        </w:tc>
        <w:tc>
          <w:tcPr>
            <w:tcW w:w="927" w:type="pct"/>
            <w:tcBorders>
              <w:top w:val="single" w:sz="6" w:space="0" w:color="auto"/>
            </w:tcBorders>
          </w:tcPr>
          <w:p w14:paraId="12FB4048" w14:textId="10C3D839" w:rsidR="009C6F7F" w:rsidRPr="00B54E4A" w:rsidRDefault="00A02017" w:rsidP="008E155D">
            <w:pPr>
              <w:pStyle w:val="ESS-TableText"/>
              <w:rPr>
                <w:rFonts w:asciiTheme="minorHAnsi" w:hAnsiTheme="minorHAnsi" w:cstheme="minorHAnsi"/>
              </w:rPr>
            </w:pPr>
            <w:r>
              <w:rPr>
                <w:rFonts w:asciiTheme="minorHAnsi" w:hAnsiTheme="minorHAnsi" w:cstheme="minorHAnsi"/>
              </w:rPr>
              <w:t>2025-06-04</w:t>
            </w:r>
          </w:p>
        </w:tc>
      </w:tr>
      <w:tr w:rsidR="00D907E1" w:rsidRPr="00B54E4A" w14:paraId="000F7282" w14:textId="77777777" w:rsidTr="008204CD">
        <w:trPr>
          <w:cantSplit/>
        </w:trPr>
        <w:tc>
          <w:tcPr>
            <w:tcW w:w="422" w:type="pct"/>
            <w:shd w:val="clear" w:color="auto" w:fill="auto"/>
          </w:tcPr>
          <w:p w14:paraId="17EE3CED" w14:textId="77777777" w:rsidR="009C6F7F" w:rsidRPr="00B54E4A" w:rsidRDefault="009C6F7F" w:rsidP="008E155D">
            <w:pPr>
              <w:pStyle w:val="ESS-TableText"/>
              <w:rPr>
                <w:rFonts w:asciiTheme="minorHAnsi" w:hAnsiTheme="minorHAnsi" w:cstheme="minorHAnsi"/>
              </w:rPr>
            </w:pPr>
          </w:p>
        </w:tc>
        <w:tc>
          <w:tcPr>
            <w:tcW w:w="2387" w:type="pct"/>
            <w:shd w:val="clear" w:color="auto" w:fill="auto"/>
          </w:tcPr>
          <w:p w14:paraId="29A41A21" w14:textId="3DE483A2" w:rsidR="009C6F7F" w:rsidRPr="00B54E4A" w:rsidRDefault="009C6F7F" w:rsidP="008E155D">
            <w:pPr>
              <w:pStyle w:val="ESS-TableText"/>
              <w:rPr>
                <w:rFonts w:asciiTheme="minorHAnsi" w:hAnsiTheme="minorHAnsi" w:cstheme="minorHAnsi"/>
              </w:rPr>
            </w:pPr>
          </w:p>
        </w:tc>
        <w:tc>
          <w:tcPr>
            <w:tcW w:w="1264" w:type="pct"/>
          </w:tcPr>
          <w:p w14:paraId="178B2926" w14:textId="77777777" w:rsidR="009C6F7F" w:rsidRPr="00B54E4A" w:rsidRDefault="009C6F7F" w:rsidP="008E155D">
            <w:pPr>
              <w:pStyle w:val="ESS-TableText"/>
              <w:rPr>
                <w:rFonts w:asciiTheme="minorHAnsi" w:hAnsiTheme="minorHAnsi" w:cstheme="minorHAnsi"/>
              </w:rPr>
            </w:pPr>
          </w:p>
        </w:tc>
        <w:tc>
          <w:tcPr>
            <w:tcW w:w="927" w:type="pct"/>
          </w:tcPr>
          <w:p w14:paraId="50B66361" w14:textId="77777777" w:rsidR="009C6F7F" w:rsidRPr="00B54E4A" w:rsidRDefault="009C6F7F" w:rsidP="008E155D">
            <w:pPr>
              <w:pStyle w:val="ESS-TableText"/>
              <w:rPr>
                <w:rFonts w:asciiTheme="minorHAnsi" w:hAnsiTheme="minorHAnsi" w:cstheme="minorHAnsi"/>
              </w:rPr>
            </w:pPr>
          </w:p>
        </w:tc>
      </w:tr>
      <w:tr w:rsidR="00D907E1" w:rsidRPr="00B54E4A" w14:paraId="05DFEF04" w14:textId="77777777" w:rsidTr="008204CD">
        <w:trPr>
          <w:cantSplit/>
        </w:trPr>
        <w:tc>
          <w:tcPr>
            <w:tcW w:w="422" w:type="pct"/>
            <w:tcBorders>
              <w:bottom w:val="single" w:sz="12" w:space="0" w:color="auto"/>
            </w:tcBorders>
            <w:shd w:val="clear" w:color="auto" w:fill="auto"/>
          </w:tcPr>
          <w:p w14:paraId="6BA898C6" w14:textId="77777777" w:rsidR="009C6F7F" w:rsidRPr="00B54E4A" w:rsidRDefault="009C6F7F" w:rsidP="008E155D">
            <w:pPr>
              <w:pStyle w:val="ESS-TableText"/>
              <w:rPr>
                <w:rFonts w:asciiTheme="minorHAnsi" w:hAnsiTheme="minorHAnsi" w:cstheme="minorHAnsi"/>
              </w:rPr>
            </w:pPr>
          </w:p>
        </w:tc>
        <w:tc>
          <w:tcPr>
            <w:tcW w:w="2387" w:type="pct"/>
            <w:tcBorders>
              <w:bottom w:val="single" w:sz="12" w:space="0" w:color="auto"/>
            </w:tcBorders>
            <w:shd w:val="clear" w:color="auto" w:fill="auto"/>
          </w:tcPr>
          <w:p w14:paraId="3DF9E2EF" w14:textId="77777777" w:rsidR="009C6F7F" w:rsidRPr="00B54E4A" w:rsidRDefault="009C6F7F" w:rsidP="008E155D">
            <w:pPr>
              <w:pStyle w:val="ESS-TableText"/>
              <w:rPr>
                <w:rFonts w:asciiTheme="minorHAnsi" w:hAnsiTheme="minorHAnsi" w:cstheme="minorHAnsi"/>
              </w:rPr>
            </w:pPr>
          </w:p>
        </w:tc>
        <w:tc>
          <w:tcPr>
            <w:tcW w:w="1264" w:type="pct"/>
            <w:tcBorders>
              <w:bottom w:val="single" w:sz="12" w:space="0" w:color="auto"/>
            </w:tcBorders>
          </w:tcPr>
          <w:p w14:paraId="3683CDCE" w14:textId="77777777" w:rsidR="009C6F7F" w:rsidRPr="00B54E4A" w:rsidRDefault="009C6F7F" w:rsidP="008E155D">
            <w:pPr>
              <w:pStyle w:val="ESS-TableText"/>
              <w:rPr>
                <w:rFonts w:asciiTheme="minorHAnsi" w:hAnsiTheme="minorHAnsi" w:cstheme="minorHAnsi"/>
              </w:rPr>
            </w:pPr>
          </w:p>
        </w:tc>
        <w:tc>
          <w:tcPr>
            <w:tcW w:w="927" w:type="pct"/>
            <w:tcBorders>
              <w:bottom w:val="single" w:sz="12" w:space="0" w:color="auto"/>
            </w:tcBorders>
          </w:tcPr>
          <w:p w14:paraId="797B2FA6" w14:textId="77777777" w:rsidR="009C6F7F" w:rsidRPr="00B54E4A" w:rsidRDefault="009C6F7F" w:rsidP="008E155D">
            <w:pPr>
              <w:pStyle w:val="ESS-TableText"/>
              <w:rPr>
                <w:rFonts w:asciiTheme="minorHAnsi" w:hAnsiTheme="minorHAnsi" w:cstheme="minorHAnsi"/>
              </w:rPr>
            </w:pPr>
          </w:p>
        </w:tc>
      </w:tr>
    </w:tbl>
    <w:p w14:paraId="7AE11BBB" w14:textId="77777777" w:rsidR="001C7398" w:rsidRPr="00B54E4A" w:rsidRDefault="001C7398" w:rsidP="001C7398">
      <w:pPr>
        <w:pStyle w:val="ListParagraph"/>
        <w:ind w:left="360"/>
        <w:rPr>
          <w:rFonts w:asciiTheme="minorHAnsi" w:hAnsiTheme="minorHAnsi" w:cstheme="minorHAnsi"/>
        </w:rPr>
      </w:pPr>
    </w:p>
    <w:sectPr w:rsidR="001C7398" w:rsidRPr="00B54E4A" w:rsidSect="00790989">
      <w:headerReference w:type="even" r:id="rId59"/>
      <w:headerReference w:type="default" r:id="rId60"/>
      <w:footerReference w:type="default" r:id="rId61"/>
      <w:headerReference w:type="first" r:id="rId62"/>
      <w:pgSz w:w="11907" w:h="16840" w:code="9"/>
      <w:pgMar w:top="1361" w:right="1134" w:bottom="907"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C24CB6" w14:textId="77777777" w:rsidR="001E30F8" w:rsidRDefault="001E30F8" w:rsidP="00D84B5E">
      <w:pPr>
        <w:spacing w:after="0"/>
      </w:pPr>
      <w:r>
        <w:separator/>
      </w:r>
    </w:p>
  </w:endnote>
  <w:endnote w:type="continuationSeparator" w:id="0">
    <w:p w14:paraId="327EA965" w14:textId="77777777" w:rsidR="001E30F8" w:rsidRDefault="001E30F8" w:rsidP="00D84B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C946B" w14:textId="68C14A52" w:rsidR="00C63132" w:rsidRPr="00A114BB" w:rsidRDefault="007E6D3A" w:rsidP="00D907E1">
    <w:pPr>
      <w:pStyle w:val="Footer"/>
      <w:jc w:val="center"/>
      <w:rPr>
        <w:szCs w:val="16"/>
      </w:rPr>
    </w:pPr>
    <w:r w:rsidRPr="00A114BB">
      <w:rPr>
        <w:rStyle w:val="PageNumber"/>
        <w:sz w:val="16"/>
        <w:szCs w:val="16"/>
      </w:rPr>
      <w:fldChar w:fldCharType="begin"/>
    </w:r>
    <w:r w:rsidRPr="00A114BB">
      <w:rPr>
        <w:rStyle w:val="PageNumber"/>
        <w:sz w:val="16"/>
        <w:szCs w:val="16"/>
      </w:rPr>
      <w:instrText xml:space="preserve"> PAGE </w:instrText>
    </w:r>
    <w:r w:rsidRPr="00A114BB">
      <w:rPr>
        <w:rStyle w:val="PageNumber"/>
        <w:sz w:val="16"/>
        <w:szCs w:val="16"/>
      </w:rPr>
      <w:fldChar w:fldCharType="separate"/>
    </w:r>
    <w:r w:rsidR="001F21E9">
      <w:rPr>
        <w:rStyle w:val="PageNumber"/>
        <w:noProof/>
        <w:sz w:val="16"/>
        <w:szCs w:val="16"/>
      </w:rPr>
      <w:t>2</w:t>
    </w:r>
    <w:r w:rsidRPr="00A114BB">
      <w:rPr>
        <w:rStyle w:val="PageNumber"/>
        <w:sz w:val="16"/>
        <w:szCs w:val="16"/>
      </w:rPr>
      <w:fldChar w:fldCharType="end"/>
    </w:r>
    <w:r w:rsidRPr="00A114BB">
      <w:rPr>
        <w:rStyle w:val="PageNumber"/>
        <w:sz w:val="16"/>
        <w:szCs w:val="16"/>
      </w:rPr>
      <w:t xml:space="preserve"> (</w:t>
    </w:r>
    <w:r w:rsidRPr="00A114BB">
      <w:rPr>
        <w:rStyle w:val="PageNumber"/>
        <w:sz w:val="16"/>
        <w:szCs w:val="16"/>
      </w:rPr>
      <w:fldChar w:fldCharType="begin"/>
    </w:r>
    <w:r w:rsidRPr="00A114BB">
      <w:rPr>
        <w:rStyle w:val="PageNumber"/>
        <w:sz w:val="16"/>
        <w:szCs w:val="16"/>
      </w:rPr>
      <w:instrText xml:space="preserve"> NUMPAGES </w:instrText>
    </w:r>
    <w:r w:rsidRPr="00A114BB">
      <w:rPr>
        <w:rStyle w:val="PageNumber"/>
        <w:sz w:val="16"/>
        <w:szCs w:val="16"/>
      </w:rPr>
      <w:fldChar w:fldCharType="separate"/>
    </w:r>
    <w:r w:rsidR="001F21E9">
      <w:rPr>
        <w:rStyle w:val="PageNumber"/>
        <w:noProof/>
        <w:sz w:val="16"/>
        <w:szCs w:val="16"/>
      </w:rPr>
      <w:t>7</w:t>
    </w:r>
    <w:r w:rsidRPr="00A114BB">
      <w:rPr>
        <w:rStyle w:val="PageNumber"/>
        <w:sz w:val="16"/>
        <w:szCs w:val="16"/>
      </w:rPr>
      <w:fldChar w:fldCharType="end"/>
    </w:r>
    <w:r w:rsidRPr="00A114BB">
      <w:rPr>
        <w:rStyle w:val="PageNumber"/>
        <w:sz w:val="16"/>
        <w:szCs w:val="16"/>
      </w:rPr>
      <w:t>)</w:t>
    </w:r>
  </w:p>
  <w:p w14:paraId="4666B1A6" w14:textId="77777777" w:rsidR="00A933AF" w:rsidRDefault="00A933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8DE12F" w14:textId="77777777" w:rsidR="001E30F8" w:rsidRDefault="001E30F8" w:rsidP="00D84B5E">
      <w:pPr>
        <w:spacing w:after="0"/>
      </w:pPr>
      <w:r>
        <w:separator/>
      </w:r>
    </w:p>
  </w:footnote>
  <w:footnote w:type="continuationSeparator" w:id="0">
    <w:p w14:paraId="0BF4E677" w14:textId="77777777" w:rsidR="001E30F8" w:rsidRDefault="001E30F8" w:rsidP="00D84B5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A9AD9" w14:textId="77777777" w:rsidR="007E6D3A" w:rsidRDefault="00000000">
    <w:pPr>
      <w:pStyle w:val="Header"/>
    </w:pPr>
    <w:sdt>
      <w:sdtPr>
        <w:id w:val="281778772"/>
        <w:placeholder>
          <w:docPart w:val="22D085A4FDC6F34F91455164671D163E"/>
        </w:placeholder>
        <w:temporary/>
        <w:showingPlcHdr/>
      </w:sdtPr>
      <w:sdtContent>
        <w:r w:rsidR="007E6D3A">
          <w:t>[Type text]</w:t>
        </w:r>
      </w:sdtContent>
    </w:sdt>
    <w:r w:rsidR="007E6D3A">
      <w:ptab w:relativeTo="margin" w:alignment="center" w:leader="none"/>
    </w:r>
    <w:sdt>
      <w:sdtPr>
        <w:id w:val="-247424033"/>
        <w:placeholder>
          <w:docPart w:val="DA42A3D4BE36F14E923F7E84C0B447E9"/>
        </w:placeholder>
        <w:temporary/>
        <w:showingPlcHdr/>
      </w:sdtPr>
      <w:sdtContent>
        <w:r w:rsidR="007E6D3A">
          <w:t>[Type text]</w:t>
        </w:r>
      </w:sdtContent>
    </w:sdt>
    <w:r w:rsidR="007E6D3A">
      <w:ptab w:relativeTo="margin" w:alignment="right" w:leader="none"/>
    </w:r>
    <w:sdt>
      <w:sdtPr>
        <w:id w:val="651568375"/>
        <w:placeholder>
          <w:docPart w:val="39ED1B5F1F006243A0770C73F4D7150C"/>
        </w:placeholder>
        <w:temporary/>
        <w:showingPlcHdr/>
      </w:sdtPr>
      <w:sdtContent>
        <w:r w:rsidR="007E6D3A">
          <w:t>[Type text]</w:t>
        </w:r>
      </w:sdtContent>
    </w:sdt>
  </w:p>
  <w:p w14:paraId="05A3747E" w14:textId="77777777" w:rsidR="007E6D3A" w:rsidRDefault="007E6D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4623"/>
      <w:gridCol w:w="1893"/>
      <w:gridCol w:w="1704"/>
    </w:tblGrid>
    <w:tr w:rsidR="00035015" w:rsidRPr="00A114BB" w14:paraId="346C72E0" w14:textId="77777777" w:rsidTr="00035015">
      <w:trPr>
        <w:trHeight w:val="196"/>
      </w:trPr>
      <w:tc>
        <w:tcPr>
          <w:tcW w:w="736" w:type="pct"/>
        </w:tcPr>
        <w:p w14:paraId="496B97A8" w14:textId="77777777" w:rsidR="00CA35E0" w:rsidRPr="00A114BB" w:rsidRDefault="00CA35E0" w:rsidP="00590145">
          <w:pPr>
            <w:pStyle w:val="Header"/>
            <w:rPr>
              <w:rFonts w:cs="Segoe UI Historic"/>
            </w:rPr>
          </w:pPr>
          <w:r w:rsidRPr="00A114BB">
            <w:rPr>
              <w:rFonts w:cs="Segoe UI Historic"/>
            </w:rPr>
            <w:t>Document Type</w:t>
          </w:r>
        </w:p>
      </w:tc>
      <w:tc>
        <w:tcPr>
          <w:tcW w:w="2398" w:type="pct"/>
        </w:tcPr>
        <w:p w14:paraId="3FA5EFE2" w14:textId="6A9F2FF4" w:rsidR="00CA35E0" w:rsidRPr="00A114BB" w:rsidRDefault="001730F0" w:rsidP="00CA35E0">
          <w:pPr>
            <w:pStyle w:val="Header"/>
            <w:rPr>
              <w:rFonts w:cs="Segoe UI Historic"/>
            </w:rPr>
          </w:pPr>
          <w:r w:rsidRPr="00A114BB">
            <w:rPr>
              <w:rFonts w:cs="Segoe UI Historic"/>
            </w:rPr>
            <w:fldChar w:fldCharType="begin"/>
          </w:r>
          <w:r w:rsidRPr="00A114BB">
            <w:rPr>
              <w:rFonts w:cs="Segoe UI Historic"/>
            </w:rPr>
            <w:instrText xml:space="preserve"> DOCPROPERTY "MXType.Localized"  \* MERGEFORMAT </w:instrText>
          </w:r>
          <w:r w:rsidRPr="00A114BB">
            <w:rPr>
              <w:rFonts w:cs="Segoe UI Historic"/>
            </w:rPr>
            <w:fldChar w:fldCharType="separate"/>
          </w:r>
          <w:r w:rsidR="001F21E9">
            <w:rPr>
              <w:rFonts w:cs="Segoe UI Historic"/>
            </w:rPr>
            <w:t>Validation Plan</w:t>
          </w:r>
          <w:r w:rsidRPr="00A114BB">
            <w:rPr>
              <w:rFonts w:cs="Segoe UI Historic"/>
            </w:rPr>
            <w:fldChar w:fldCharType="end"/>
          </w:r>
        </w:p>
      </w:tc>
      <w:tc>
        <w:tcPr>
          <w:tcW w:w="982" w:type="pct"/>
        </w:tcPr>
        <w:p w14:paraId="5BF08180" w14:textId="77777777" w:rsidR="00CA35E0" w:rsidRPr="00A114BB" w:rsidRDefault="00CA35E0" w:rsidP="00CA35E0">
          <w:pPr>
            <w:pStyle w:val="Header"/>
            <w:rPr>
              <w:rFonts w:cs="Segoe UI Historic"/>
            </w:rPr>
          </w:pPr>
          <w:r w:rsidRPr="00A114BB">
            <w:rPr>
              <w:rFonts w:cs="Segoe UI Historic"/>
            </w:rPr>
            <w:t xml:space="preserve">Date </w:t>
          </w:r>
        </w:p>
      </w:tc>
      <w:tc>
        <w:tcPr>
          <w:tcW w:w="884" w:type="pct"/>
        </w:tcPr>
        <w:p w14:paraId="34A4E185" w14:textId="31BD3179" w:rsidR="00CA35E0" w:rsidRPr="00A114BB" w:rsidRDefault="00D70B48" w:rsidP="00120421">
          <w:pPr>
            <w:pStyle w:val="Header"/>
            <w:rPr>
              <w:rFonts w:cs="Segoe UI Historic"/>
            </w:rPr>
          </w:pPr>
          <w:r w:rsidRPr="00A114BB">
            <w:rPr>
              <w:rFonts w:cs="Segoe UI Historic"/>
            </w:rPr>
            <w:fldChar w:fldCharType="begin"/>
          </w:r>
          <w:r w:rsidRPr="00A114BB">
            <w:rPr>
              <w:rFonts w:cs="Segoe UI Historic"/>
            </w:rPr>
            <w:instrText xml:space="preserve"> DOCPROPERTY "MXPrinted Date"  \* MERGEFORMAT </w:instrText>
          </w:r>
          <w:r w:rsidRPr="00A114BB">
            <w:rPr>
              <w:rFonts w:cs="Segoe UI Historic"/>
            </w:rPr>
            <w:fldChar w:fldCharType="separate"/>
          </w:r>
          <w:r w:rsidR="001F21E9">
            <w:rPr>
              <w:rFonts w:cs="Segoe UI Historic"/>
            </w:rPr>
            <w:t>Apr 23, 2025</w:t>
          </w:r>
          <w:r w:rsidRPr="00A114BB">
            <w:rPr>
              <w:rFonts w:cs="Segoe UI Historic"/>
            </w:rPr>
            <w:fldChar w:fldCharType="end"/>
          </w:r>
        </w:p>
      </w:tc>
    </w:tr>
    <w:tr w:rsidR="00035015" w:rsidRPr="00A114BB" w14:paraId="3F54D5DD" w14:textId="77777777" w:rsidTr="00035015">
      <w:trPr>
        <w:trHeight w:val="196"/>
      </w:trPr>
      <w:tc>
        <w:tcPr>
          <w:tcW w:w="736" w:type="pct"/>
        </w:tcPr>
        <w:p w14:paraId="3F7FC0C2" w14:textId="77777777" w:rsidR="00CA35E0" w:rsidRPr="00A114BB" w:rsidRDefault="00CA35E0" w:rsidP="00F13777">
          <w:pPr>
            <w:pStyle w:val="Header"/>
            <w:rPr>
              <w:rFonts w:cs="Segoe UI Historic"/>
            </w:rPr>
          </w:pPr>
          <w:r w:rsidRPr="00A114BB">
            <w:rPr>
              <w:rFonts w:cs="Segoe UI Historic"/>
            </w:rPr>
            <w:t>Document Number</w:t>
          </w:r>
        </w:p>
      </w:tc>
      <w:tc>
        <w:tcPr>
          <w:tcW w:w="2398" w:type="pct"/>
        </w:tcPr>
        <w:p w14:paraId="2312B3F6" w14:textId="7F36E72D" w:rsidR="00CA35E0" w:rsidRPr="00A114BB" w:rsidRDefault="00D70B48" w:rsidP="00120421">
          <w:pPr>
            <w:pStyle w:val="Header"/>
            <w:rPr>
              <w:rFonts w:cs="Segoe UI Historic"/>
            </w:rPr>
          </w:pPr>
          <w:r w:rsidRPr="00A114BB">
            <w:rPr>
              <w:rFonts w:cs="Segoe UI Historic"/>
            </w:rPr>
            <w:fldChar w:fldCharType="begin"/>
          </w:r>
          <w:r w:rsidRPr="00A114BB">
            <w:rPr>
              <w:rFonts w:cs="Segoe UI Historic"/>
            </w:rPr>
            <w:instrText xml:space="preserve"> DOCPROPERTY "MXName"  \* MERGEFORMAT </w:instrText>
          </w:r>
          <w:r w:rsidRPr="00A114BB">
            <w:rPr>
              <w:rFonts w:cs="Segoe UI Historic"/>
            </w:rPr>
            <w:fldChar w:fldCharType="separate"/>
          </w:r>
          <w:r w:rsidR="001F21E9">
            <w:rPr>
              <w:rFonts w:cs="Segoe UI Historic"/>
            </w:rPr>
            <w:t>ESS-5685109</w:t>
          </w:r>
          <w:r w:rsidRPr="00A114BB">
            <w:rPr>
              <w:rFonts w:cs="Segoe UI Historic"/>
            </w:rPr>
            <w:fldChar w:fldCharType="end"/>
          </w:r>
        </w:p>
      </w:tc>
      <w:tc>
        <w:tcPr>
          <w:tcW w:w="982" w:type="pct"/>
        </w:tcPr>
        <w:p w14:paraId="1F8EA3E9" w14:textId="77777777" w:rsidR="00CA35E0" w:rsidRPr="00A114BB" w:rsidRDefault="00CA35E0" w:rsidP="00CA35E0">
          <w:pPr>
            <w:pStyle w:val="Header"/>
            <w:rPr>
              <w:rFonts w:cs="Segoe UI Historic"/>
            </w:rPr>
          </w:pPr>
          <w:r w:rsidRPr="00A114BB">
            <w:rPr>
              <w:rFonts w:cs="Segoe UI Historic"/>
            </w:rPr>
            <w:t xml:space="preserve">State </w:t>
          </w:r>
        </w:p>
      </w:tc>
      <w:tc>
        <w:tcPr>
          <w:tcW w:w="884" w:type="pct"/>
        </w:tcPr>
        <w:p w14:paraId="3E32D652" w14:textId="7FAC8A0D" w:rsidR="00CA35E0" w:rsidRPr="00A114BB" w:rsidRDefault="00D70B48" w:rsidP="00120421">
          <w:pPr>
            <w:pStyle w:val="Header"/>
            <w:rPr>
              <w:rFonts w:cs="Segoe UI Historic"/>
            </w:rPr>
          </w:pPr>
          <w:r w:rsidRPr="00A114BB">
            <w:rPr>
              <w:rFonts w:cs="Segoe UI Historic"/>
            </w:rPr>
            <w:fldChar w:fldCharType="begin"/>
          </w:r>
          <w:r w:rsidRPr="00A114BB">
            <w:rPr>
              <w:rFonts w:cs="Segoe UI Historic"/>
            </w:rPr>
            <w:instrText xml:space="preserve"> DOCPROPERTY "MXCurrent"  \* MERGEFORMAT </w:instrText>
          </w:r>
          <w:r w:rsidRPr="00A114BB">
            <w:rPr>
              <w:rFonts w:cs="Segoe UI Historic"/>
            </w:rPr>
            <w:fldChar w:fldCharType="separate"/>
          </w:r>
          <w:r w:rsidR="001F21E9">
            <w:rPr>
              <w:rFonts w:cs="Segoe UI Historic"/>
            </w:rPr>
            <w:t>Preliminary</w:t>
          </w:r>
          <w:r w:rsidRPr="00A114BB">
            <w:rPr>
              <w:rFonts w:cs="Segoe UI Historic"/>
            </w:rPr>
            <w:fldChar w:fldCharType="end"/>
          </w:r>
        </w:p>
      </w:tc>
    </w:tr>
    <w:tr w:rsidR="00035015" w:rsidRPr="00A114BB" w14:paraId="2A5A0ABF" w14:textId="77777777" w:rsidTr="00035015">
      <w:trPr>
        <w:trHeight w:val="196"/>
      </w:trPr>
      <w:tc>
        <w:tcPr>
          <w:tcW w:w="736" w:type="pct"/>
        </w:tcPr>
        <w:p w14:paraId="349D6377" w14:textId="77777777" w:rsidR="00CA35E0" w:rsidRPr="00A114BB" w:rsidRDefault="00CA35E0" w:rsidP="00F13777">
          <w:pPr>
            <w:pStyle w:val="Header"/>
            <w:rPr>
              <w:rFonts w:cs="Segoe UI Historic"/>
            </w:rPr>
          </w:pPr>
          <w:r w:rsidRPr="00A114BB">
            <w:rPr>
              <w:rFonts w:cs="Segoe UI Historic"/>
            </w:rPr>
            <w:t>Revision</w:t>
          </w:r>
        </w:p>
      </w:tc>
      <w:tc>
        <w:tcPr>
          <w:tcW w:w="2398" w:type="pct"/>
        </w:tcPr>
        <w:p w14:paraId="14FDA074" w14:textId="10CD858C" w:rsidR="00CA35E0" w:rsidRPr="00A114BB" w:rsidRDefault="00D70B48" w:rsidP="00120421">
          <w:pPr>
            <w:pStyle w:val="Header"/>
            <w:rPr>
              <w:rFonts w:cs="Segoe UI Historic"/>
            </w:rPr>
          </w:pPr>
          <w:r w:rsidRPr="00A114BB">
            <w:rPr>
              <w:rFonts w:cs="Segoe UI Historic"/>
            </w:rPr>
            <w:fldChar w:fldCharType="begin"/>
          </w:r>
          <w:r w:rsidRPr="00A114BB">
            <w:rPr>
              <w:rFonts w:cs="Segoe UI Historic"/>
            </w:rPr>
            <w:instrText xml:space="preserve"> DOCPROPERTY "MXRevision"  \* MERGEFORMAT </w:instrText>
          </w:r>
          <w:r w:rsidRPr="00A114BB">
            <w:rPr>
              <w:rFonts w:cs="Segoe UI Historic"/>
            </w:rPr>
            <w:fldChar w:fldCharType="separate"/>
          </w:r>
          <w:r w:rsidR="001F21E9">
            <w:rPr>
              <w:rFonts w:cs="Segoe UI Historic"/>
            </w:rPr>
            <w:t>1</w:t>
          </w:r>
          <w:r w:rsidRPr="00A114BB">
            <w:rPr>
              <w:rFonts w:cs="Segoe UI Historic"/>
            </w:rPr>
            <w:fldChar w:fldCharType="end"/>
          </w:r>
          <w:r w:rsidR="00CA35E0" w:rsidRPr="00A114BB">
            <w:rPr>
              <w:rFonts w:cs="Segoe UI Historic"/>
            </w:rPr>
            <w:t xml:space="preserve"> </w:t>
          </w:r>
          <w:r w:rsidRPr="00A114BB">
            <w:rPr>
              <w:rFonts w:cs="Segoe UI Historic"/>
            </w:rPr>
            <w:fldChar w:fldCharType="begin"/>
          </w:r>
          <w:r w:rsidRPr="00A114BB">
            <w:rPr>
              <w:rFonts w:cs="Segoe UI Historic"/>
            </w:rPr>
            <w:instrText xml:space="preserve"> DOCPROPERTY "MXPrinted Version"  \* MERGEFORMAT </w:instrText>
          </w:r>
          <w:r w:rsidRPr="00A114BB">
            <w:rPr>
              <w:rFonts w:cs="Segoe UI Historic"/>
            </w:rPr>
            <w:fldChar w:fldCharType="separate"/>
          </w:r>
          <w:r w:rsidR="001F21E9">
            <w:rPr>
              <w:rFonts w:cs="Segoe UI Historic"/>
            </w:rPr>
            <w:t>(1/1)</w:t>
          </w:r>
          <w:r w:rsidRPr="00A114BB">
            <w:fldChar w:fldCharType="end"/>
          </w:r>
        </w:p>
      </w:tc>
      <w:tc>
        <w:tcPr>
          <w:tcW w:w="982" w:type="pct"/>
        </w:tcPr>
        <w:p w14:paraId="61013BE9" w14:textId="77777777" w:rsidR="00CA35E0" w:rsidRPr="00A114BB" w:rsidRDefault="00CA35E0" w:rsidP="00CA35E0">
          <w:pPr>
            <w:pStyle w:val="Header"/>
            <w:rPr>
              <w:rFonts w:cs="Segoe UI Historic"/>
            </w:rPr>
          </w:pPr>
          <w:r w:rsidRPr="00A114BB">
            <w:rPr>
              <w:rFonts w:cs="Segoe UI Historic"/>
            </w:rPr>
            <w:t xml:space="preserve">Confidentiality Level </w:t>
          </w:r>
        </w:p>
      </w:tc>
      <w:tc>
        <w:tcPr>
          <w:tcW w:w="884" w:type="pct"/>
        </w:tcPr>
        <w:p w14:paraId="07643536" w14:textId="63CEE515" w:rsidR="00CA35E0" w:rsidRPr="00A114BB" w:rsidRDefault="00CA35E0" w:rsidP="00120421">
          <w:pPr>
            <w:pStyle w:val="Header"/>
            <w:rPr>
              <w:rFonts w:cs="Segoe UI Historic"/>
            </w:rPr>
          </w:pPr>
          <w:r w:rsidRPr="00A114BB">
            <w:rPr>
              <w:rFonts w:cs="Segoe UI Historic"/>
            </w:rPr>
            <w:fldChar w:fldCharType="begin"/>
          </w:r>
          <w:r w:rsidRPr="00A114BB">
            <w:rPr>
              <w:rFonts w:cs="Segoe UI Historic"/>
            </w:rPr>
            <w:instrText xml:space="preserve"> IF </w:instrText>
          </w:r>
          <w:r w:rsidR="00D70B48" w:rsidRPr="00A114BB">
            <w:rPr>
              <w:rFonts w:cs="Segoe UI Historic"/>
            </w:rPr>
            <w:fldChar w:fldCharType="begin"/>
          </w:r>
          <w:r w:rsidR="00D70B48" w:rsidRPr="00A114BB">
            <w:rPr>
              <w:rFonts w:cs="Segoe UI Historic"/>
            </w:rPr>
            <w:instrText xml:space="preserve"> DOCPROPERTY "MXConfidentiality"  \* MERGEFORMAT </w:instrText>
          </w:r>
          <w:r w:rsidR="00D70B48" w:rsidRPr="00A114BB">
            <w:rPr>
              <w:rFonts w:cs="Segoe UI Historic"/>
            </w:rPr>
            <w:fldChar w:fldCharType="separate"/>
          </w:r>
          <w:r w:rsidR="001F21E9">
            <w:rPr>
              <w:rFonts w:cs="Segoe UI Historic"/>
            </w:rPr>
            <w:instrText>Internal</w:instrText>
          </w:r>
          <w:r w:rsidR="00D70B48" w:rsidRPr="00A114BB">
            <w:rPr>
              <w:rFonts w:cs="Segoe UI Historic"/>
            </w:rPr>
            <w:fldChar w:fldCharType="end"/>
          </w:r>
          <w:r w:rsidRPr="00A114BB">
            <w:rPr>
              <w:rFonts w:cs="Segoe UI Historic"/>
            </w:rPr>
            <w:instrText xml:space="preserve"> = "Confidential" </w:instrText>
          </w:r>
          <w:r w:rsidRPr="00A114BB">
            <w:rPr>
              <w:rFonts w:cs="Segoe UI Historic"/>
              <w:b/>
              <w:color w:val="FF0000"/>
            </w:rPr>
            <w:fldChar w:fldCharType="begin"/>
          </w:r>
          <w:r w:rsidRPr="00A114BB">
            <w:rPr>
              <w:rFonts w:cs="Segoe UI Historic"/>
              <w:b/>
              <w:color w:val="FF0000"/>
            </w:rPr>
            <w:instrText xml:space="preserve"> DOCPROPERTY "MXConfidentiality" \* MERGEFORMAT </w:instrText>
          </w:r>
          <w:r w:rsidRPr="00A114BB">
            <w:rPr>
              <w:rFonts w:cs="Segoe UI Historic"/>
              <w:b/>
              <w:color w:val="FF0000"/>
            </w:rPr>
            <w:fldChar w:fldCharType="separate"/>
          </w:r>
          <w:r w:rsidRPr="00A114BB">
            <w:rPr>
              <w:rFonts w:cs="Segoe UI Historic"/>
              <w:b/>
              <w:color w:val="FF0000"/>
            </w:rPr>
            <w:instrText>Confidential</w:instrText>
          </w:r>
          <w:r w:rsidRPr="00A114BB">
            <w:rPr>
              <w:rFonts w:cs="Segoe UI Historic"/>
              <w:b/>
              <w:color w:val="FF0000"/>
            </w:rPr>
            <w:fldChar w:fldCharType="end"/>
          </w:r>
          <w:r w:rsidRPr="00A114BB">
            <w:rPr>
              <w:rFonts w:cs="Segoe UI Historic"/>
            </w:rPr>
            <w:instrText xml:space="preserve">  </w:instrText>
          </w:r>
          <w:r w:rsidR="00D70B48" w:rsidRPr="00A114BB">
            <w:rPr>
              <w:rFonts w:cs="Segoe UI Historic"/>
            </w:rPr>
            <w:fldChar w:fldCharType="begin"/>
          </w:r>
          <w:r w:rsidR="00D70B48" w:rsidRPr="00A114BB">
            <w:rPr>
              <w:rFonts w:cs="Segoe UI Historic"/>
            </w:rPr>
            <w:instrText xml:space="preserve"> DOCPROPERTY "MXConfidentiality" \* MERGEFORMAT </w:instrText>
          </w:r>
          <w:r w:rsidR="00D70B48" w:rsidRPr="00A114BB">
            <w:rPr>
              <w:rFonts w:cs="Segoe UI Historic"/>
            </w:rPr>
            <w:fldChar w:fldCharType="separate"/>
          </w:r>
          <w:r w:rsidR="001F21E9">
            <w:rPr>
              <w:rFonts w:cs="Segoe UI Historic"/>
            </w:rPr>
            <w:instrText>Internal</w:instrText>
          </w:r>
          <w:r w:rsidR="00D70B48" w:rsidRPr="00A114BB">
            <w:rPr>
              <w:rFonts w:cs="Segoe UI Historic"/>
            </w:rPr>
            <w:fldChar w:fldCharType="end"/>
          </w:r>
          <w:r w:rsidRPr="00A114BB">
            <w:rPr>
              <w:rFonts w:cs="Segoe UI Historic"/>
            </w:rPr>
            <w:instrText xml:space="preserve"> </w:instrText>
          </w:r>
          <w:r w:rsidRPr="00A114BB">
            <w:rPr>
              <w:rFonts w:cs="Segoe UI Historic"/>
            </w:rPr>
            <w:fldChar w:fldCharType="separate"/>
          </w:r>
          <w:r w:rsidR="001F21E9">
            <w:rPr>
              <w:rFonts w:cs="Segoe UI Historic"/>
              <w:noProof/>
            </w:rPr>
            <w:t>Internal</w:t>
          </w:r>
          <w:r w:rsidRPr="00A114BB">
            <w:rPr>
              <w:rFonts w:cs="Segoe UI Historic"/>
            </w:rPr>
            <w:fldChar w:fldCharType="end"/>
          </w:r>
        </w:p>
      </w:tc>
    </w:tr>
  </w:tbl>
  <w:p w14:paraId="5B5B08B8" w14:textId="77777777" w:rsidR="00A933AF" w:rsidRDefault="00A933A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5"/>
      <w:gridCol w:w="1943"/>
      <w:gridCol w:w="2331"/>
    </w:tblGrid>
    <w:tr w:rsidR="007E6D3A" w:rsidRPr="00B414C7" w14:paraId="2B1E85BB" w14:textId="77777777" w:rsidTr="006A7E65">
      <w:trPr>
        <w:trHeight w:val="196"/>
      </w:trPr>
      <w:tc>
        <w:tcPr>
          <w:tcW w:w="5670" w:type="dxa"/>
          <w:vMerge w:val="restart"/>
        </w:tcPr>
        <w:p w14:paraId="397433CF" w14:textId="77777777" w:rsidR="007E6D3A" w:rsidRPr="00B414C7" w:rsidRDefault="00B414C7" w:rsidP="00F13777">
          <w:pPr>
            <w:pStyle w:val="Header"/>
            <w:rPr>
              <w:rFonts w:cs="Times New Roman (Body CS)"/>
            </w:rPr>
          </w:pPr>
          <w:r w:rsidRPr="00B414C7">
            <w:rPr>
              <w:rFonts w:cs="Times New Roman (Body CS)"/>
              <w:noProof/>
              <w:lang w:val="sv-SE" w:eastAsia="sv-SE"/>
            </w:rPr>
            <w:drawing>
              <wp:anchor distT="0" distB="0" distL="114300" distR="114300" simplePos="0" relativeHeight="251659264" behindDoc="0" locked="0" layoutInCell="1" allowOverlap="1" wp14:anchorId="4758087C" wp14:editId="174A6859">
                <wp:simplePos x="0" y="0"/>
                <wp:positionH relativeFrom="page">
                  <wp:posOffset>37340</wp:posOffset>
                </wp:positionH>
                <wp:positionV relativeFrom="page">
                  <wp:posOffset>38100</wp:posOffset>
                </wp:positionV>
                <wp:extent cx="1429592" cy="756000"/>
                <wp:effectExtent l="0" t="0" r="5715" b="6350"/>
                <wp:wrapNone/>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ogo.png"/>
                        <pic:cNvPicPr/>
                      </pic:nvPicPr>
                      <pic:blipFill>
                        <a:blip r:embed="rId1">
                          <a:extLst>
                            <a:ext uri="{28A0092B-C50C-407E-A947-70E740481C1C}">
                              <a14:useLocalDpi xmlns:a14="http://schemas.microsoft.com/office/drawing/2010/main" val="0"/>
                            </a:ext>
                          </a:extLst>
                        </a:blip>
                        <a:stretch>
                          <a:fillRect/>
                        </a:stretch>
                      </pic:blipFill>
                      <pic:spPr>
                        <a:xfrm>
                          <a:off x="0" y="0"/>
                          <a:ext cx="1429592" cy="756000"/>
                        </a:xfrm>
                        <a:prstGeom prst="rect">
                          <a:avLst/>
                        </a:prstGeom>
                      </pic:spPr>
                    </pic:pic>
                  </a:graphicData>
                </a:graphic>
                <wp14:sizeRelH relativeFrom="margin">
                  <wp14:pctWidth>0</wp14:pctWidth>
                </wp14:sizeRelH>
                <wp14:sizeRelV relativeFrom="margin">
                  <wp14:pctHeight>0</wp14:pctHeight>
                </wp14:sizeRelV>
              </wp:anchor>
            </w:drawing>
          </w:r>
        </w:p>
      </w:tc>
      <w:tc>
        <w:tcPr>
          <w:tcW w:w="1985" w:type="dxa"/>
        </w:tcPr>
        <w:p w14:paraId="39F46AD6" w14:textId="77777777" w:rsidR="007E6D3A" w:rsidRPr="00A114BB" w:rsidRDefault="007E6D3A" w:rsidP="00F13777">
          <w:pPr>
            <w:pStyle w:val="Header"/>
            <w:rPr>
              <w:rFonts w:cs="Times New Roman (Body CS)"/>
              <w:szCs w:val="16"/>
            </w:rPr>
          </w:pPr>
          <w:r w:rsidRPr="00A114BB">
            <w:rPr>
              <w:rFonts w:cs="Times New Roman (Body CS)"/>
              <w:szCs w:val="16"/>
            </w:rPr>
            <w:t>Document Type</w:t>
          </w:r>
        </w:p>
      </w:tc>
      <w:tc>
        <w:tcPr>
          <w:tcW w:w="2410" w:type="dxa"/>
        </w:tcPr>
        <w:p w14:paraId="70B35706" w14:textId="152B66B1" w:rsidR="007E6D3A" w:rsidRPr="00A114BB" w:rsidRDefault="00D70B48" w:rsidP="00F13777">
          <w:pPr>
            <w:pStyle w:val="Header"/>
            <w:rPr>
              <w:rFonts w:cs="Times New Roman (Body CS)"/>
              <w:szCs w:val="16"/>
            </w:rPr>
          </w:pPr>
          <w:r w:rsidRPr="00A114BB">
            <w:rPr>
              <w:rFonts w:cs="Times New Roman (Body CS)"/>
              <w:szCs w:val="16"/>
            </w:rPr>
            <w:fldChar w:fldCharType="begin"/>
          </w:r>
          <w:r w:rsidRPr="00A114BB">
            <w:rPr>
              <w:rFonts w:cs="Times New Roman (Body CS)"/>
              <w:szCs w:val="16"/>
            </w:rPr>
            <w:instrText xml:space="preserve"> DOCPROPERTY "MXType.Localized"  \* MERGEFORMAT </w:instrText>
          </w:r>
          <w:r w:rsidRPr="00A114BB">
            <w:rPr>
              <w:rFonts w:cs="Times New Roman (Body CS)"/>
              <w:szCs w:val="16"/>
            </w:rPr>
            <w:fldChar w:fldCharType="separate"/>
          </w:r>
          <w:r w:rsidR="001F21E9">
            <w:rPr>
              <w:rFonts w:cs="Times New Roman (Body CS)"/>
              <w:szCs w:val="16"/>
            </w:rPr>
            <w:t>Validation Plan</w:t>
          </w:r>
          <w:r w:rsidRPr="00A114BB">
            <w:rPr>
              <w:rFonts w:cs="Times New Roman (Body CS)"/>
              <w:szCs w:val="16"/>
            </w:rPr>
            <w:fldChar w:fldCharType="end"/>
          </w:r>
        </w:p>
      </w:tc>
    </w:tr>
    <w:tr w:rsidR="007E6D3A" w:rsidRPr="00B414C7" w14:paraId="2B477950" w14:textId="77777777" w:rsidTr="006A7E65">
      <w:trPr>
        <w:trHeight w:val="196"/>
      </w:trPr>
      <w:tc>
        <w:tcPr>
          <w:tcW w:w="5670" w:type="dxa"/>
          <w:vMerge/>
        </w:tcPr>
        <w:p w14:paraId="4CFD16D9" w14:textId="77777777" w:rsidR="007E6D3A" w:rsidRPr="00B414C7" w:rsidRDefault="007E6D3A" w:rsidP="00F13777">
          <w:pPr>
            <w:pStyle w:val="Header"/>
            <w:rPr>
              <w:rFonts w:cs="Times New Roman (Body CS)"/>
            </w:rPr>
          </w:pPr>
        </w:p>
      </w:tc>
      <w:tc>
        <w:tcPr>
          <w:tcW w:w="1985" w:type="dxa"/>
        </w:tcPr>
        <w:p w14:paraId="24625A5A" w14:textId="77777777" w:rsidR="007E6D3A" w:rsidRPr="00A114BB" w:rsidRDefault="007E6D3A" w:rsidP="00F13777">
          <w:pPr>
            <w:pStyle w:val="Header"/>
            <w:rPr>
              <w:rFonts w:cs="Times New Roman (Body CS)"/>
              <w:szCs w:val="16"/>
            </w:rPr>
          </w:pPr>
          <w:r w:rsidRPr="00A114BB">
            <w:rPr>
              <w:rFonts w:cs="Times New Roman (Body CS)"/>
              <w:szCs w:val="16"/>
            </w:rPr>
            <w:t>Document Number</w:t>
          </w:r>
        </w:p>
      </w:tc>
      <w:tc>
        <w:tcPr>
          <w:tcW w:w="2410" w:type="dxa"/>
        </w:tcPr>
        <w:p w14:paraId="6C30E82A" w14:textId="45C57FBD" w:rsidR="007E6D3A" w:rsidRPr="00A114BB" w:rsidRDefault="00D70B48" w:rsidP="00F13777">
          <w:pPr>
            <w:pStyle w:val="Header"/>
            <w:rPr>
              <w:rFonts w:cs="Times New Roman (Body CS)"/>
              <w:szCs w:val="16"/>
            </w:rPr>
          </w:pPr>
          <w:r w:rsidRPr="00A114BB">
            <w:rPr>
              <w:rFonts w:cs="Times New Roman (Body CS)"/>
              <w:szCs w:val="16"/>
            </w:rPr>
            <w:fldChar w:fldCharType="begin"/>
          </w:r>
          <w:r w:rsidRPr="00A114BB">
            <w:rPr>
              <w:rFonts w:cs="Times New Roman (Body CS)"/>
              <w:szCs w:val="16"/>
            </w:rPr>
            <w:instrText xml:space="preserve"> DOCPROPERTY "MXName"  \* MERGEFORMAT </w:instrText>
          </w:r>
          <w:r w:rsidRPr="00A114BB">
            <w:rPr>
              <w:rFonts w:cs="Times New Roman (Body CS)"/>
              <w:szCs w:val="16"/>
            </w:rPr>
            <w:fldChar w:fldCharType="separate"/>
          </w:r>
          <w:r w:rsidR="001F21E9">
            <w:rPr>
              <w:rFonts w:cs="Times New Roman (Body CS)"/>
              <w:szCs w:val="16"/>
            </w:rPr>
            <w:t>ESS-5685109</w:t>
          </w:r>
          <w:r w:rsidRPr="00A114BB">
            <w:rPr>
              <w:rFonts w:cs="Times New Roman (Body CS)"/>
              <w:szCs w:val="16"/>
            </w:rPr>
            <w:fldChar w:fldCharType="end"/>
          </w:r>
        </w:p>
      </w:tc>
    </w:tr>
    <w:tr w:rsidR="007E6D3A" w:rsidRPr="00B414C7" w14:paraId="7930F066" w14:textId="77777777" w:rsidTr="006A7E65">
      <w:trPr>
        <w:trHeight w:val="234"/>
      </w:trPr>
      <w:tc>
        <w:tcPr>
          <w:tcW w:w="5670" w:type="dxa"/>
          <w:vMerge/>
        </w:tcPr>
        <w:p w14:paraId="7005B4D2" w14:textId="77777777" w:rsidR="007E6D3A" w:rsidRPr="00B414C7" w:rsidRDefault="007E6D3A" w:rsidP="00F13777">
          <w:pPr>
            <w:pStyle w:val="Header"/>
            <w:rPr>
              <w:rFonts w:cs="Times New Roman (Body CS)"/>
            </w:rPr>
          </w:pPr>
        </w:p>
      </w:tc>
      <w:tc>
        <w:tcPr>
          <w:tcW w:w="1985" w:type="dxa"/>
        </w:tcPr>
        <w:p w14:paraId="25F6D66D" w14:textId="77777777" w:rsidR="007E6D3A" w:rsidRPr="00A114BB" w:rsidRDefault="007E6D3A" w:rsidP="00F13777">
          <w:pPr>
            <w:pStyle w:val="Header"/>
            <w:rPr>
              <w:rFonts w:cs="Times New Roman (Body CS)"/>
              <w:szCs w:val="16"/>
            </w:rPr>
          </w:pPr>
          <w:r w:rsidRPr="00A114BB">
            <w:rPr>
              <w:rFonts w:cs="Times New Roman (Body CS)"/>
              <w:szCs w:val="16"/>
            </w:rPr>
            <w:t>Date</w:t>
          </w:r>
        </w:p>
      </w:tc>
      <w:tc>
        <w:tcPr>
          <w:tcW w:w="2410" w:type="dxa"/>
        </w:tcPr>
        <w:p w14:paraId="098CCA13" w14:textId="4B98ACCE" w:rsidR="007E6D3A" w:rsidRPr="00A114BB" w:rsidRDefault="00D70B48" w:rsidP="00F13777">
          <w:pPr>
            <w:pStyle w:val="Header"/>
            <w:rPr>
              <w:rFonts w:cs="Times New Roman (Body CS)"/>
              <w:szCs w:val="16"/>
            </w:rPr>
          </w:pPr>
          <w:r w:rsidRPr="00A114BB">
            <w:rPr>
              <w:rFonts w:cs="Times New Roman (Body CS)"/>
              <w:szCs w:val="16"/>
            </w:rPr>
            <w:fldChar w:fldCharType="begin"/>
          </w:r>
          <w:r w:rsidRPr="00A114BB">
            <w:rPr>
              <w:rFonts w:cs="Times New Roman (Body CS)"/>
              <w:szCs w:val="16"/>
            </w:rPr>
            <w:instrText xml:space="preserve"> DOCPROPERTY "MXPrinted Date"  \* MERGEFORMAT </w:instrText>
          </w:r>
          <w:r w:rsidRPr="00A114BB">
            <w:rPr>
              <w:rFonts w:cs="Times New Roman (Body CS)"/>
              <w:szCs w:val="16"/>
            </w:rPr>
            <w:fldChar w:fldCharType="separate"/>
          </w:r>
          <w:r w:rsidR="001F21E9">
            <w:rPr>
              <w:rFonts w:cs="Times New Roman (Body CS)"/>
              <w:szCs w:val="16"/>
            </w:rPr>
            <w:t>Apr 23, 2025</w:t>
          </w:r>
          <w:r w:rsidRPr="00A114BB">
            <w:rPr>
              <w:rFonts w:cs="Times New Roman (Body CS)"/>
              <w:szCs w:val="16"/>
            </w:rPr>
            <w:fldChar w:fldCharType="end"/>
          </w:r>
        </w:p>
      </w:tc>
    </w:tr>
    <w:tr w:rsidR="007E6D3A" w:rsidRPr="00B414C7" w14:paraId="770D13BD" w14:textId="77777777" w:rsidTr="006A7E65">
      <w:trPr>
        <w:trHeight w:val="196"/>
      </w:trPr>
      <w:tc>
        <w:tcPr>
          <w:tcW w:w="5670" w:type="dxa"/>
          <w:vMerge/>
        </w:tcPr>
        <w:p w14:paraId="65836D6B" w14:textId="77777777" w:rsidR="007E6D3A" w:rsidRPr="00B414C7" w:rsidRDefault="007E6D3A" w:rsidP="00F13777">
          <w:pPr>
            <w:pStyle w:val="Header"/>
            <w:rPr>
              <w:rFonts w:cs="Times New Roman (Body CS)"/>
            </w:rPr>
          </w:pPr>
        </w:p>
      </w:tc>
      <w:tc>
        <w:tcPr>
          <w:tcW w:w="1985" w:type="dxa"/>
        </w:tcPr>
        <w:p w14:paraId="7E097F27" w14:textId="77777777" w:rsidR="007E6D3A" w:rsidRPr="00A114BB" w:rsidRDefault="007E6D3A" w:rsidP="00F13777">
          <w:pPr>
            <w:pStyle w:val="Header"/>
            <w:rPr>
              <w:rFonts w:cs="Times New Roman (Body CS)"/>
              <w:szCs w:val="16"/>
            </w:rPr>
          </w:pPr>
          <w:r w:rsidRPr="00A114BB">
            <w:rPr>
              <w:rFonts w:cs="Times New Roman (Body CS)"/>
              <w:szCs w:val="16"/>
            </w:rPr>
            <w:t>Revision</w:t>
          </w:r>
        </w:p>
      </w:tc>
      <w:tc>
        <w:tcPr>
          <w:tcW w:w="2410" w:type="dxa"/>
        </w:tcPr>
        <w:p w14:paraId="4D6000D7" w14:textId="3788A792" w:rsidR="007E6D3A" w:rsidRPr="00A114BB" w:rsidRDefault="00D70B48" w:rsidP="00F13777">
          <w:pPr>
            <w:pStyle w:val="Header"/>
            <w:rPr>
              <w:rFonts w:cs="Times New Roman (Body CS)"/>
              <w:szCs w:val="16"/>
            </w:rPr>
          </w:pPr>
          <w:r w:rsidRPr="00A114BB">
            <w:rPr>
              <w:rFonts w:cs="Times New Roman (Body CS)"/>
              <w:szCs w:val="16"/>
            </w:rPr>
            <w:fldChar w:fldCharType="begin"/>
          </w:r>
          <w:r w:rsidRPr="00A114BB">
            <w:rPr>
              <w:rFonts w:cs="Times New Roman (Body CS)"/>
              <w:szCs w:val="16"/>
            </w:rPr>
            <w:instrText xml:space="preserve"> DOCPROPERTY "MXRevision"  \* MERGEFORMAT </w:instrText>
          </w:r>
          <w:r w:rsidRPr="00A114BB">
            <w:rPr>
              <w:rFonts w:cs="Times New Roman (Body CS)"/>
              <w:szCs w:val="16"/>
            </w:rPr>
            <w:fldChar w:fldCharType="separate"/>
          </w:r>
          <w:r w:rsidR="001F21E9">
            <w:rPr>
              <w:rFonts w:cs="Times New Roman (Body CS)"/>
              <w:szCs w:val="16"/>
            </w:rPr>
            <w:t>1</w:t>
          </w:r>
          <w:r w:rsidRPr="00A114BB">
            <w:rPr>
              <w:rFonts w:cs="Times New Roman (Body CS)"/>
              <w:szCs w:val="16"/>
            </w:rPr>
            <w:fldChar w:fldCharType="end"/>
          </w:r>
          <w:r w:rsidR="007E6D3A" w:rsidRPr="00A114BB">
            <w:rPr>
              <w:rFonts w:cs="Times New Roman (Body CS)"/>
              <w:szCs w:val="16"/>
            </w:rPr>
            <w:t xml:space="preserve"> </w:t>
          </w:r>
          <w:r w:rsidRPr="00A114BB">
            <w:rPr>
              <w:rFonts w:cs="Times New Roman (Body CS)"/>
              <w:szCs w:val="16"/>
            </w:rPr>
            <w:fldChar w:fldCharType="begin"/>
          </w:r>
          <w:r w:rsidRPr="00A114BB">
            <w:rPr>
              <w:rFonts w:cs="Times New Roman (Body CS)"/>
              <w:szCs w:val="16"/>
            </w:rPr>
            <w:instrText xml:space="preserve"> DOCPROPERTY "MXPrinted Version"  \* MERGEFORMAT </w:instrText>
          </w:r>
          <w:r w:rsidRPr="00A114BB">
            <w:rPr>
              <w:rFonts w:cs="Times New Roman (Body CS)"/>
              <w:szCs w:val="16"/>
            </w:rPr>
            <w:fldChar w:fldCharType="separate"/>
          </w:r>
          <w:r w:rsidR="001F21E9">
            <w:rPr>
              <w:rFonts w:cs="Times New Roman (Body CS)"/>
              <w:szCs w:val="16"/>
            </w:rPr>
            <w:t>(1/1)</w:t>
          </w:r>
          <w:r w:rsidRPr="00A114BB">
            <w:fldChar w:fldCharType="end"/>
          </w:r>
        </w:p>
      </w:tc>
    </w:tr>
    <w:tr w:rsidR="007E6D3A" w:rsidRPr="00B414C7" w14:paraId="771957E7" w14:textId="77777777" w:rsidTr="006A7E65">
      <w:trPr>
        <w:trHeight w:val="196"/>
      </w:trPr>
      <w:tc>
        <w:tcPr>
          <w:tcW w:w="5670" w:type="dxa"/>
          <w:vMerge/>
        </w:tcPr>
        <w:p w14:paraId="4BBB3F7B" w14:textId="77777777" w:rsidR="007E6D3A" w:rsidRPr="00B414C7" w:rsidRDefault="007E6D3A" w:rsidP="00F13777">
          <w:pPr>
            <w:pStyle w:val="Header"/>
            <w:rPr>
              <w:rFonts w:cs="Times New Roman (Body CS)"/>
            </w:rPr>
          </w:pPr>
        </w:p>
      </w:tc>
      <w:tc>
        <w:tcPr>
          <w:tcW w:w="1985" w:type="dxa"/>
        </w:tcPr>
        <w:p w14:paraId="697F3B68" w14:textId="77777777" w:rsidR="007E6D3A" w:rsidRPr="00A114BB" w:rsidRDefault="007E6D3A" w:rsidP="00F13777">
          <w:pPr>
            <w:pStyle w:val="Header"/>
            <w:rPr>
              <w:rFonts w:cs="Times New Roman (Body CS)"/>
              <w:szCs w:val="16"/>
            </w:rPr>
          </w:pPr>
          <w:r w:rsidRPr="00A114BB">
            <w:rPr>
              <w:rFonts w:cs="Times New Roman (Body CS)"/>
              <w:szCs w:val="16"/>
            </w:rPr>
            <w:t>State</w:t>
          </w:r>
        </w:p>
      </w:tc>
      <w:tc>
        <w:tcPr>
          <w:tcW w:w="2410" w:type="dxa"/>
        </w:tcPr>
        <w:p w14:paraId="5116E9EF" w14:textId="28F71050" w:rsidR="007E6D3A" w:rsidRPr="00A114BB" w:rsidRDefault="00D70B48" w:rsidP="00F13777">
          <w:pPr>
            <w:pStyle w:val="Header"/>
            <w:rPr>
              <w:rFonts w:cs="Times New Roman (Body CS)"/>
              <w:szCs w:val="16"/>
            </w:rPr>
          </w:pPr>
          <w:r w:rsidRPr="00A114BB">
            <w:rPr>
              <w:rFonts w:cs="Times New Roman (Body CS)"/>
              <w:szCs w:val="16"/>
            </w:rPr>
            <w:fldChar w:fldCharType="begin"/>
          </w:r>
          <w:r w:rsidRPr="00A114BB">
            <w:rPr>
              <w:rFonts w:cs="Times New Roman (Body CS)"/>
              <w:szCs w:val="16"/>
            </w:rPr>
            <w:instrText xml:space="preserve"> DOCPROPERTY "MXCurrent"  \* MERGEFORMAT </w:instrText>
          </w:r>
          <w:r w:rsidRPr="00A114BB">
            <w:rPr>
              <w:rFonts w:cs="Times New Roman (Body CS)"/>
              <w:szCs w:val="16"/>
            </w:rPr>
            <w:fldChar w:fldCharType="separate"/>
          </w:r>
          <w:r w:rsidR="001F21E9">
            <w:rPr>
              <w:rFonts w:cs="Times New Roman (Body CS)"/>
              <w:szCs w:val="16"/>
            </w:rPr>
            <w:t>Preliminary</w:t>
          </w:r>
          <w:r w:rsidRPr="00A114BB">
            <w:rPr>
              <w:rFonts w:cs="Times New Roman (Body CS)"/>
              <w:szCs w:val="16"/>
            </w:rPr>
            <w:fldChar w:fldCharType="end"/>
          </w:r>
        </w:p>
      </w:tc>
    </w:tr>
    <w:tr w:rsidR="007E6D3A" w:rsidRPr="00B414C7" w14:paraId="1E684914" w14:textId="77777777" w:rsidTr="006A7E65">
      <w:trPr>
        <w:trHeight w:val="196"/>
      </w:trPr>
      <w:tc>
        <w:tcPr>
          <w:tcW w:w="5670" w:type="dxa"/>
          <w:vMerge/>
        </w:tcPr>
        <w:p w14:paraId="224E3035" w14:textId="77777777" w:rsidR="007E6D3A" w:rsidRPr="00B414C7" w:rsidRDefault="007E6D3A" w:rsidP="00F13777">
          <w:pPr>
            <w:pStyle w:val="Header"/>
            <w:rPr>
              <w:rFonts w:cs="Times New Roman (Body CS)"/>
            </w:rPr>
          </w:pPr>
        </w:p>
      </w:tc>
      <w:tc>
        <w:tcPr>
          <w:tcW w:w="1985" w:type="dxa"/>
        </w:tcPr>
        <w:p w14:paraId="2C9C1B53" w14:textId="77777777" w:rsidR="007E6D3A" w:rsidRPr="00A114BB" w:rsidRDefault="007E6D3A" w:rsidP="00F13777">
          <w:pPr>
            <w:pStyle w:val="Header"/>
            <w:rPr>
              <w:rFonts w:cs="Times New Roman (Body CS)"/>
              <w:szCs w:val="16"/>
            </w:rPr>
          </w:pPr>
          <w:r w:rsidRPr="00A114BB">
            <w:rPr>
              <w:rFonts w:cs="Times New Roman (Body CS)"/>
              <w:szCs w:val="16"/>
            </w:rPr>
            <w:t>Confidentiality Level</w:t>
          </w:r>
        </w:p>
      </w:tc>
      <w:tc>
        <w:tcPr>
          <w:tcW w:w="2410" w:type="dxa"/>
        </w:tcPr>
        <w:p w14:paraId="7BD11039" w14:textId="74467568" w:rsidR="007E6D3A" w:rsidRPr="00A114BB" w:rsidRDefault="00120421" w:rsidP="00F13777">
          <w:pPr>
            <w:pStyle w:val="Header"/>
            <w:rPr>
              <w:rFonts w:cs="Times New Roman (Body CS)"/>
              <w:szCs w:val="16"/>
            </w:rPr>
          </w:pPr>
          <w:r w:rsidRPr="00A114BB">
            <w:rPr>
              <w:rFonts w:cs="Times New Roman (Body CS)"/>
              <w:szCs w:val="16"/>
            </w:rPr>
            <w:fldChar w:fldCharType="begin"/>
          </w:r>
          <w:r w:rsidRPr="00A114BB">
            <w:rPr>
              <w:rFonts w:cs="Times New Roman (Body CS)"/>
              <w:szCs w:val="16"/>
            </w:rPr>
            <w:instrText xml:space="preserve"> IF </w:instrText>
          </w:r>
          <w:r w:rsidR="00D70B48" w:rsidRPr="00A114BB">
            <w:rPr>
              <w:rFonts w:cs="Times New Roman (Body CS)"/>
              <w:szCs w:val="16"/>
            </w:rPr>
            <w:fldChar w:fldCharType="begin"/>
          </w:r>
          <w:r w:rsidR="00D70B48" w:rsidRPr="00A114BB">
            <w:rPr>
              <w:rFonts w:cs="Times New Roman (Body CS)"/>
              <w:szCs w:val="16"/>
            </w:rPr>
            <w:instrText xml:space="preserve"> DOCPROPERTY "MXConfidentiality"  \* MERGEFORMAT </w:instrText>
          </w:r>
          <w:r w:rsidR="00D70B48" w:rsidRPr="00A114BB">
            <w:rPr>
              <w:rFonts w:cs="Times New Roman (Body CS)"/>
              <w:szCs w:val="16"/>
            </w:rPr>
            <w:fldChar w:fldCharType="separate"/>
          </w:r>
          <w:r w:rsidR="001F21E9">
            <w:rPr>
              <w:rFonts w:cs="Times New Roman (Body CS)"/>
              <w:szCs w:val="16"/>
            </w:rPr>
            <w:instrText>Internal</w:instrText>
          </w:r>
          <w:r w:rsidR="00D70B48" w:rsidRPr="00A114BB">
            <w:rPr>
              <w:rFonts w:cs="Times New Roman (Body CS)"/>
              <w:szCs w:val="16"/>
            </w:rPr>
            <w:fldChar w:fldCharType="end"/>
          </w:r>
          <w:r w:rsidRPr="00A114BB">
            <w:rPr>
              <w:rFonts w:cs="Times New Roman (Body CS)"/>
              <w:szCs w:val="16"/>
            </w:rPr>
            <w:instrText xml:space="preserve"> = "Confidential" </w:instrText>
          </w:r>
          <w:r w:rsidRPr="00A114BB">
            <w:rPr>
              <w:rFonts w:cs="Times New Roman (Body CS)"/>
              <w:b/>
              <w:color w:val="FF0000"/>
              <w:szCs w:val="16"/>
            </w:rPr>
            <w:fldChar w:fldCharType="begin"/>
          </w:r>
          <w:r w:rsidRPr="00A114BB">
            <w:rPr>
              <w:rFonts w:cs="Times New Roman (Body CS)"/>
              <w:b/>
              <w:color w:val="FF0000"/>
              <w:szCs w:val="16"/>
            </w:rPr>
            <w:instrText xml:space="preserve"> DOCPROPERTY "MXConfidentiality" \* MERGEFORMAT </w:instrText>
          </w:r>
          <w:r w:rsidRPr="00A114BB">
            <w:rPr>
              <w:rFonts w:cs="Times New Roman (Body CS)"/>
              <w:b/>
              <w:color w:val="FF0000"/>
              <w:szCs w:val="16"/>
            </w:rPr>
            <w:fldChar w:fldCharType="separate"/>
          </w:r>
          <w:r w:rsidRPr="00A114BB">
            <w:rPr>
              <w:rFonts w:cs="Times New Roman (Body CS)"/>
              <w:b/>
              <w:color w:val="FF0000"/>
              <w:szCs w:val="16"/>
            </w:rPr>
            <w:instrText>Confidential</w:instrText>
          </w:r>
          <w:r w:rsidRPr="00A114BB">
            <w:rPr>
              <w:rFonts w:cs="Times New Roman (Body CS)"/>
              <w:b/>
              <w:color w:val="FF0000"/>
              <w:szCs w:val="16"/>
            </w:rPr>
            <w:fldChar w:fldCharType="end"/>
          </w:r>
          <w:r w:rsidRPr="00A114BB">
            <w:rPr>
              <w:rFonts w:cs="Times New Roman (Body CS)"/>
              <w:szCs w:val="16"/>
            </w:rPr>
            <w:instrText xml:space="preserve">  </w:instrText>
          </w:r>
          <w:r w:rsidR="00D70B48" w:rsidRPr="00A114BB">
            <w:rPr>
              <w:rFonts w:cs="Times New Roman (Body CS)"/>
              <w:szCs w:val="16"/>
            </w:rPr>
            <w:fldChar w:fldCharType="begin"/>
          </w:r>
          <w:r w:rsidR="00D70B48" w:rsidRPr="00A114BB">
            <w:rPr>
              <w:rFonts w:cs="Times New Roman (Body CS)"/>
              <w:szCs w:val="16"/>
            </w:rPr>
            <w:instrText xml:space="preserve"> DOCPROPERTY "MXConfidentiality" \* MERGEFORMAT </w:instrText>
          </w:r>
          <w:r w:rsidR="00D70B48" w:rsidRPr="00A114BB">
            <w:rPr>
              <w:rFonts w:cs="Times New Roman (Body CS)"/>
              <w:szCs w:val="16"/>
            </w:rPr>
            <w:fldChar w:fldCharType="separate"/>
          </w:r>
          <w:r w:rsidR="001F21E9">
            <w:rPr>
              <w:rFonts w:cs="Times New Roman (Body CS)"/>
              <w:szCs w:val="16"/>
            </w:rPr>
            <w:instrText>Internal</w:instrText>
          </w:r>
          <w:r w:rsidR="00D70B48" w:rsidRPr="00A114BB">
            <w:rPr>
              <w:rFonts w:cs="Times New Roman (Body CS)"/>
              <w:szCs w:val="16"/>
            </w:rPr>
            <w:fldChar w:fldCharType="end"/>
          </w:r>
          <w:r w:rsidRPr="00A114BB">
            <w:rPr>
              <w:rFonts w:cs="Times New Roman (Body CS)"/>
              <w:szCs w:val="16"/>
            </w:rPr>
            <w:instrText xml:space="preserve"> </w:instrText>
          </w:r>
          <w:r w:rsidRPr="00A114BB">
            <w:rPr>
              <w:rFonts w:cs="Times New Roman (Body CS)"/>
              <w:szCs w:val="16"/>
            </w:rPr>
            <w:fldChar w:fldCharType="separate"/>
          </w:r>
          <w:r w:rsidR="001F21E9">
            <w:rPr>
              <w:rFonts w:cs="Times New Roman (Body CS)"/>
              <w:noProof/>
              <w:szCs w:val="16"/>
            </w:rPr>
            <w:t>Internal</w:t>
          </w:r>
          <w:r w:rsidRPr="00A114BB">
            <w:rPr>
              <w:rFonts w:cs="Times New Roman (Body CS)"/>
              <w:szCs w:val="16"/>
            </w:rPr>
            <w:fldChar w:fldCharType="end"/>
          </w:r>
        </w:p>
      </w:tc>
    </w:tr>
    <w:tr w:rsidR="007E6D3A" w:rsidRPr="00B414C7" w14:paraId="737E5C4D" w14:textId="77777777" w:rsidTr="006A7E65">
      <w:trPr>
        <w:trHeight w:val="163"/>
      </w:trPr>
      <w:tc>
        <w:tcPr>
          <w:tcW w:w="5670" w:type="dxa"/>
          <w:vMerge/>
        </w:tcPr>
        <w:p w14:paraId="21C84D2C" w14:textId="77777777" w:rsidR="007E6D3A" w:rsidRPr="00B414C7" w:rsidRDefault="007E6D3A" w:rsidP="00F13777">
          <w:pPr>
            <w:pStyle w:val="Header"/>
            <w:rPr>
              <w:rFonts w:cs="Times New Roman (Body CS)"/>
            </w:rPr>
          </w:pPr>
        </w:p>
      </w:tc>
      <w:tc>
        <w:tcPr>
          <w:tcW w:w="1985" w:type="dxa"/>
        </w:tcPr>
        <w:p w14:paraId="1C4560B6" w14:textId="77777777" w:rsidR="007E6D3A" w:rsidRPr="00A114BB" w:rsidRDefault="007E6D3A" w:rsidP="00F13777">
          <w:pPr>
            <w:pStyle w:val="Header"/>
            <w:rPr>
              <w:rFonts w:cs="Times New Roman (Body CS)"/>
              <w:szCs w:val="16"/>
            </w:rPr>
          </w:pPr>
          <w:r w:rsidRPr="00A114BB">
            <w:rPr>
              <w:rFonts w:cs="Times New Roman (Body CS)"/>
              <w:szCs w:val="16"/>
            </w:rPr>
            <w:t>Page</w:t>
          </w:r>
        </w:p>
      </w:tc>
      <w:tc>
        <w:tcPr>
          <w:tcW w:w="2410" w:type="dxa"/>
        </w:tcPr>
        <w:p w14:paraId="2C9BE3C9" w14:textId="47131FD6" w:rsidR="007E6D3A" w:rsidRPr="00A114BB" w:rsidRDefault="007E6D3A" w:rsidP="00F13777">
          <w:pPr>
            <w:pStyle w:val="Header"/>
            <w:rPr>
              <w:rFonts w:cs="Times New Roman (Body CS)"/>
              <w:szCs w:val="16"/>
            </w:rPr>
          </w:pPr>
          <w:r w:rsidRPr="00A114BB">
            <w:rPr>
              <w:rStyle w:val="PageNumber"/>
              <w:rFonts w:cs="Times New Roman (Body CS)"/>
              <w:sz w:val="16"/>
              <w:szCs w:val="16"/>
            </w:rPr>
            <w:fldChar w:fldCharType="begin"/>
          </w:r>
          <w:r w:rsidRPr="00A114BB">
            <w:rPr>
              <w:rStyle w:val="PageNumber"/>
              <w:rFonts w:cs="Times New Roman (Body CS)"/>
              <w:sz w:val="16"/>
              <w:szCs w:val="16"/>
            </w:rPr>
            <w:instrText xml:space="preserve"> PAGE </w:instrText>
          </w:r>
          <w:r w:rsidRPr="00A114BB">
            <w:rPr>
              <w:rStyle w:val="PageNumber"/>
              <w:rFonts w:cs="Times New Roman (Body CS)"/>
              <w:sz w:val="16"/>
              <w:szCs w:val="16"/>
            </w:rPr>
            <w:fldChar w:fldCharType="separate"/>
          </w:r>
          <w:r w:rsidR="001F21E9">
            <w:rPr>
              <w:rStyle w:val="PageNumber"/>
              <w:rFonts w:cs="Times New Roman (Body CS)"/>
              <w:noProof/>
              <w:sz w:val="16"/>
              <w:szCs w:val="16"/>
            </w:rPr>
            <w:t>1</w:t>
          </w:r>
          <w:r w:rsidRPr="00A114BB">
            <w:rPr>
              <w:rStyle w:val="PageNumber"/>
              <w:rFonts w:cs="Times New Roman (Body CS)"/>
              <w:sz w:val="16"/>
              <w:szCs w:val="16"/>
            </w:rPr>
            <w:fldChar w:fldCharType="end"/>
          </w:r>
          <w:r w:rsidRPr="00A114BB">
            <w:rPr>
              <w:rStyle w:val="PageNumber"/>
              <w:rFonts w:cs="Times New Roman (Body CS)"/>
              <w:sz w:val="16"/>
              <w:szCs w:val="16"/>
            </w:rPr>
            <w:t xml:space="preserve"> (</w:t>
          </w:r>
          <w:r w:rsidRPr="00A114BB">
            <w:rPr>
              <w:rStyle w:val="PageNumber"/>
              <w:rFonts w:cs="Times New Roman (Body CS)"/>
              <w:sz w:val="16"/>
              <w:szCs w:val="16"/>
            </w:rPr>
            <w:fldChar w:fldCharType="begin"/>
          </w:r>
          <w:r w:rsidRPr="00A114BB">
            <w:rPr>
              <w:rStyle w:val="PageNumber"/>
              <w:rFonts w:cs="Times New Roman (Body CS)"/>
              <w:sz w:val="16"/>
              <w:szCs w:val="16"/>
            </w:rPr>
            <w:instrText xml:space="preserve"> NUMPAGES </w:instrText>
          </w:r>
          <w:r w:rsidRPr="00A114BB">
            <w:rPr>
              <w:rStyle w:val="PageNumber"/>
              <w:rFonts w:cs="Times New Roman (Body CS)"/>
              <w:sz w:val="16"/>
              <w:szCs w:val="16"/>
            </w:rPr>
            <w:fldChar w:fldCharType="separate"/>
          </w:r>
          <w:r w:rsidR="001F21E9">
            <w:rPr>
              <w:rStyle w:val="PageNumber"/>
              <w:rFonts w:cs="Times New Roman (Body CS)"/>
              <w:noProof/>
              <w:sz w:val="16"/>
              <w:szCs w:val="16"/>
            </w:rPr>
            <w:t>2</w:t>
          </w:r>
          <w:r w:rsidRPr="00A114BB">
            <w:rPr>
              <w:rStyle w:val="PageNumber"/>
              <w:rFonts w:cs="Times New Roman (Body CS)"/>
              <w:sz w:val="16"/>
              <w:szCs w:val="16"/>
            </w:rPr>
            <w:fldChar w:fldCharType="end"/>
          </w:r>
          <w:r w:rsidRPr="00A114BB">
            <w:rPr>
              <w:rStyle w:val="PageNumber"/>
              <w:rFonts w:cs="Times New Roman (Body CS)"/>
              <w:sz w:val="16"/>
              <w:szCs w:val="16"/>
            </w:rPr>
            <w:t>)</w:t>
          </w:r>
        </w:p>
      </w:tc>
    </w:tr>
  </w:tbl>
  <w:p w14:paraId="51A7DE59" w14:textId="77777777" w:rsidR="00C63132" w:rsidRPr="00A114BB" w:rsidRDefault="00C63132">
    <w:pPr>
      <w:rPr>
        <w:rFonts w:cs="Times New Roman (Body CS)"/>
        <w:sz w:val="16"/>
        <w:szCs w:val="16"/>
      </w:rPr>
    </w:pPr>
  </w:p>
  <w:p w14:paraId="3009D739" w14:textId="77777777" w:rsidR="00A933AF" w:rsidRDefault="00A933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5582F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060F8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034912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54C7B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C264D0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D4ADB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04A7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287AD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77ABB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4288E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A909AD"/>
    <w:multiLevelType w:val="hybridMultilevel"/>
    <w:tmpl w:val="A1D856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06C848D7"/>
    <w:multiLevelType w:val="hybridMultilevel"/>
    <w:tmpl w:val="275C7E4C"/>
    <w:lvl w:ilvl="0" w:tplc="04060001">
      <w:start w:val="1"/>
      <w:numFmt w:val="bullet"/>
      <w:lvlText w:val=""/>
      <w:lvlJc w:val="left"/>
      <w:pPr>
        <w:ind w:left="768" w:hanging="360"/>
      </w:pPr>
      <w:rPr>
        <w:rFonts w:ascii="Symbol" w:hAnsi="Symbol" w:hint="default"/>
      </w:rPr>
    </w:lvl>
    <w:lvl w:ilvl="1" w:tplc="04060003" w:tentative="1">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12" w15:restartNumberingAfterBreak="0">
    <w:nsid w:val="0DA7798D"/>
    <w:multiLevelType w:val="hybridMultilevel"/>
    <w:tmpl w:val="E304AB9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116F01A1"/>
    <w:multiLevelType w:val="hybridMultilevel"/>
    <w:tmpl w:val="72025A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1730AD3"/>
    <w:multiLevelType w:val="hybridMultilevel"/>
    <w:tmpl w:val="B39AAC78"/>
    <w:lvl w:ilvl="0" w:tplc="E72E938A">
      <w:start w:val="1"/>
      <w:numFmt w:val="lowerLetter"/>
      <w:pStyle w:val="BulletList4-letters"/>
      <w:lvlText w:val="%1)"/>
      <w:lvlJc w:val="left"/>
      <w:pPr>
        <w:ind w:left="530" w:hanging="360"/>
      </w:pPr>
      <w:rPr>
        <w:rFonts w:ascii="Segoe UI Historic" w:hAnsi="Segoe UI Historic"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C81D25"/>
    <w:multiLevelType w:val="hybridMultilevel"/>
    <w:tmpl w:val="79ECF2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14715472"/>
    <w:multiLevelType w:val="hybridMultilevel"/>
    <w:tmpl w:val="D1845D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18122E45"/>
    <w:multiLevelType w:val="hybridMultilevel"/>
    <w:tmpl w:val="F162E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AA02F24"/>
    <w:multiLevelType w:val="hybridMultilevel"/>
    <w:tmpl w:val="A2BC7730"/>
    <w:lvl w:ilvl="0" w:tplc="F3940502">
      <w:start w:val="1"/>
      <w:numFmt w:val="bullet"/>
      <w:pStyle w:val="TopBulletList1-do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7F11CC"/>
    <w:multiLevelType w:val="hybridMultilevel"/>
    <w:tmpl w:val="F4D2BE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21B55FB4"/>
    <w:multiLevelType w:val="hybridMultilevel"/>
    <w:tmpl w:val="995CE3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252F2DB8"/>
    <w:multiLevelType w:val="hybridMultilevel"/>
    <w:tmpl w:val="5A0E26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25E5070A"/>
    <w:multiLevelType w:val="multilevel"/>
    <w:tmpl w:val="801A04E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E483E6F"/>
    <w:multiLevelType w:val="hybridMultilevel"/>
    <w:tmpl w:val="C91E17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70F06E4"/>
    <w:multiLevelType w:val="hybridMultilevel"/>
    <w:tmpl w:val="A772431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7AF6763"/>
    <w:multiLevelType w:val="hybridMultilevel"/>
    <w:tmpl w:val="1CFEC458"/>
    <w:lvl w:ilvl="0" w:tplc="88F6C758">
      <w:start w:val="1"/>
      <w:numFmt w:val="decimal"/>
      <w:lvlText w:val="[%1]"/>
      <w:lvlJc w:val="left"/>
      <w:pPr>
        <w:ind w:left="998" w:hanging="998"/>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90C3C86"/>
    <w:multiLevelType w:val="hybridMultilevel"/>
    <w:tmpl w:val="96CC7B3E"/>
    <w:lvl w:ilvl="0" w:tplc="57221CB0">
      <w:start w:val="1"/>
      <w:numFmt w:val="upperRoman"/>
      <w:pStyle w:val="BulletList6-romannumerals"/>
      <w:lvlText w:val="%1."/>
      <w:lvlJc w:val="left"/>
      <w:pPr>
        <w:ind w:left="530" w:hanging="360"/>
      </w:pPr>
      <w:rPr>
        <w:rFonts w:ascii="Segoe UI Historic" w:hAnsi="Segoe UI Historic"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3A2691"/>
    <w:multiLevelType w:val="hybridMultilevel"/>
    <w:tmpl w:val="1D20B5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FA02060"/>
    <w:multiLevelType w:val="hybridMultilevel"/>
    <w:tmpl w:val="57CA4180"/>
    <w:lvl w:ilvl="0" w:tplc="4D30A9F8">
      <w:start w:val="1"/>
      <w:numFmt w:val="bullet"/>
      <w:pStyle w:val="Lista1"/>
      <w:lvlText w:val=""/>
      <w:lvlJc w:val="left"/>
      <w:pPr>
        <w:tabs>
          <w:tab w:val="num" w:pos="1854"/>
        </w:tabs>
        <w:ind w:left="1854"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Wingdings"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Wingdings"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Wingdings"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4E4313D"/>
    <w:multiLevelType w:val="hybridMultilevel"/>
    <w:tmpl w:val="55EA6EF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BAA108F"/>
    <w:multiLevelType w:val="hybridMultilevel"/>
    <w:tmpl w:val="26ACF7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D1B3FA2"/>
    <w:multiLevelType w:val="hybridMultilevel"/>
    <w:tmpl w:val="B54822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53400BF"/>
    <w:multiLevelType w:val="hybridMultilevel"/>
    <w:tmpl w:val="863EA0CC"/>
    <w:lvl w:ilvl="0" w:tplc="AEB4B0E2">
      <w:start w:val="1"/>
      <w:numFmt w:val="bullet"/>
      <w:pStyle w:val="BulletList5-circles"/>
      <w:lvlText w:val="o"/>
      <w:lvlJc w:val="left"/>
      <w:pPr>
        <w:ind w:left="530" w:hanging="360"/>
      </w:pPr>
      <w:rPr>
        <w:rFonts w:ascii="Courier New" w:hAnsi="Courier New" w:cs="Courier New"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CD5699"/>
    <w:multiLevelType w:val="hybridMultilevel"/>
    <w:tmpl w:val="A128E53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C6260B4"/>
    <w:multiLevelType w:val="hybridMultilevel"/>
    <w:tmpl w:val="2AC400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17D462D"/>
    <w:multiLevelType w:val="hybridMultilevel"/>
    <w:tmpl w:val="EE0288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F072041"/>
    <w:multiLevelType w:val="hybridMultilevel"/>
    <w:tmpl w:val="2A1CE4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7" w15:restartNumberingAfterBreak="0">
    <w:nsid w:val="728F397E"/>
    <w:multiLevelType w:val="hybridMultilevel"/>
    <w:tmpl w:val="A53C64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2987C5D"/>
    <w:multiLevelType w:val="hybridMultilevel"/>
    <w:tmpl w:val="02420292"/>
    <w:lvl w:ilvl="0" w:tplc="FEF6E43C">
      <w:start w:val="1"/>
      <w:numFmt w:val="decimal"/>
      <w:pStyle w:val="Bulletnumber"/>
      <w:lvlText w:val="%1)"/>
      <w:lvlJc w:val="right"/>
      <w:pPr>
        <w:ind w:left="510" w:hanging="170"/>
      </w:pPr>
      <w:rPr>
        <w:rFonts w:ascii="Segoe UI Historic" w:hAnsi="Segoe UI Historic"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8B574B"/>
    <w:multiLevelType w:val="hybridMultilevel"/>
    <w:tmpl w:val="084A5308"/>
    <w:lvl w:ilvl="0" w:tplc="C0CAABAC">
      <w:start w:val="1"/>
      <w:numFmt w:val="bullet"/>
      <w:pStyle w:val="BulletList3-dashes"/>
      <w:lvlText w:val="–"/>
      <w:lvlJc w:val="left"/>
      <w:pPr>
        <w:ind w:left="530" w:hanging="360"/>
      </w:pPr>
      <w:rPr>
        <w:rFonts w:ascii="Segoe UI Historic" w:hAnsi="Segoe UI Historic" w:hint="default"/>
        <w:b w:val="0"/>
        <w:i w:val="0"/>
        <w:caps w:val="0"/>
        <w:strike w:val="0"/>
        <w:dstrike w:val="0"/>
        <w:vanish w:val="0"/>
        <w:sz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2322700">
    <w:abstractNumId w:val="22"/>
  </w:num>
  <w:num w:numId="2" w16cid:durableId="969624879">
    <w:abstractNumId w:val="25"/>
  </w:num>
  <w:num w:numId="3" w16cid:durableId="2048797849">
    <w:abstractNumId w:val="0"/>
  </w:num>
  <w:num w:numId="4" w16cid:durableId="1671641681">
    <w:abstractNumId w:val="1"/>
  </w:num>
  <w:num w:numId="5" w16cid:durableId="1923100582">
    <w:abstractNumId w:val="2"/>
  </w:num>
  <w:num w:numId="6" w16cid:durableId="262612235">
    <w:abstractNumId w:val="3"/>
  </w:num>
  <w:num w:numId="7" w16cid:durableId="1659766036">
    <w:abstractNumId w:val="8"/>
  </w:num>
  <w:num w:numId="8" w16cid:durableId="468673594">
    <w:abstractNumId w:val="4"/>
  </w:num>
  <w:num w:numId="9" w16cid:durableId="732045809">
    <w:abstractNumId w:val="5"/>
  </w:num>
  <w:num w:numId="10" w16cid:durableId="1002245469">
    <w:abstractNumId w:val="6"/>
  </w:num>
  <w:num w:numId="11" w16cid:durableId="2096316826">
    <w:abstractNumId w:val="7"/>
  </w:num>
  <w:num w:numId="12" w16cid:durableId="556936702">
    <w:abstractNumId w:val="9"/>
  </w:num>
  <w:num w:numId="13" w16cid:durableId="1535802919">
    <w:abstractNumId w:val="18"/>
  </w:num>
  <w:num w:numId="14" w16cid:durableId="555508834">
    <w:abstractNumId w:val="38"/>
  </w:num>
  <w:num w:numId="15" w16cid:durableId="1088965607">
    <w:abstractNumId w:val="39"/>
  </w:num>
  <w:num w:numId="16" w16cid:durableId="780226534">
    <w:abstractNumId w:val="32"/>
  </w:num>
  <w:num w:numId="17" w16cid:durableId="565725626">
    <w:abstractNumId w:val="26"/>
  </w:num>
  <w:num w:numId="18" w16cid:durableId="823426825">
    <w:abstractNumId w:val="14"/>
  </w:num>
  <w:num w:numId="19" w16cid:durableId="1584796600">
    <w:abstractNumId w:val="28"/>
  </w:num>
  <w:num w:numId="20" w16cid:durableId="575474727">
    <w:abstractNumId w:val="17"/>
  </w:num>
  <w:num w:numId="21" w16cid:durableId="2111194370">
    <w:abstractNumId w:val="12"/>
  </w:num>
  <w:num w:numId="22" w16cid:durableId="1002439613">
    <w:abstractNumId w:val="11"/>
  </w:num>
  <w:num w:numId="23" w16cid:durableId="1589928674">
    <w:abstractNumId w:val="31"/>
  </w:num>
  <w:num w:numId="24" w16cid:durableId="1444106999">
    <w:abstractNumId w:val="20"/>
  </w:num>
  <w:num w:numId="25" w16cid:durableId="1104768452">
    <w:abstractNumId w:val="33"/>
  </w:num>
  <w:num w:numId="26" w16cid:durableId="1140346482">
    <w:abstractNumId w:val="21"/>
  </w:num>
  <w:num w:numId="27" w16cid:durableId="658774729">
    <w:abstractNumId w:val="24"/>
  </w:num>
  <w:num w:numId="28" w16cid:durableId="430395498">
    <w:abstractNumId w:val="23"/>
  </w:num>
  <w:num w:numId="29" w16cid:durableId="1149597470">
    <w:abstractNumId w:val="19"/>
  </w:num>
  <w:num w:numId="30" w16cid:durableId="1199854036">
    <w:abstractNumId w:val="36"/>
  </w:num>
  <w:num w:numId="31" w16cid:durableId="481850227">
    <w:abstractNumId w:val="35"/>
  </w:num>
  <w:num w:numId="32" w16cid:durableId="205725462">
    <w:abstractNumId w:val="30"/>
  </w:num>
  <w:num w:numId="33" w16cid:durableId="452598846">
    <w:abstractNumId w:val="27"/>
  </w:num>
  <w:num w:numId="34" w16cid:durableId="1568613138">
    <w:abstractNumId w:val="16"/>
  </w:num>
  <w:num w:numId="35" w16cid:durableId="688020332">
    <w:abstractNumId w:val="10"/>
  </w:num>
  <w:num w:numId="36" w16cid:durableId="791442969">
    <w:abstractNumId w:val="37"/>
  </w:num>
  <w:num w:numId="37" w16cid:durableId="1183202022">
    <w:abstractNumId w:val="34"/>
  </w:num>
  <w:num w:numId="38" w16cid:durableId="7305378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915750236">
    <w:abstractNumId w:val="29"/>
  </w:num>
  <w:num w:numId="40" w16cid:durableId="2006321636">
    <w:abstractNumId w:val="13"/>
  </w:num>
  <w:num w:numId="41" w16cid:durableId="25934020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FCC"/>
    <w:rsid w:val="0000022D"/>
    <w:rsid w:val="00003EF4"/>
    <w:rsid w:val="000054D5"/>
    <w:rsid w:val="00011DFD"/>
    <w:rsid w:val="00014A63"/>
    <w:rsid w:val="0001673B"/>
    <w:rsid w:val="00016E88"/>
    <w:rsid w:val="00016EC5"/>
    <w:rsid w:val="00017E65"/>
    <w:rsid w:val="00020815"/>
    <w:rsid w:val="00023C28"/>
    <w:rsid w:val="00030259"/>
    <w:rsid w:val="00030DB9"/>
    <w:rsid w:val="00032419"/>
    <w:rsid w:val="00035015"/>
    <w:rsid w:val="00035994"/>
    <w:rsid w:val="00043FCC"/>
    <w:rsid w:val="000473C0"/>
    <w:rsid w:val="000477DC"/>
    <w:rsid w:val="00054940"/>
    <w:rsid w:val="00054F1B"/>
    <w:rsid w:val="000555BD"/>
    <w:rsid w:val="000628C7"/>
    <w:rsid w:val="000677CD"/>
    <w:rsid w:val="00070AA0"/>
    <w:rsid w:val="000753F4"/>
    <w:rsid w:val="00075D4B"/>
    <w:rsid w:val="000774EC"/>
    <w:rsid w:val="000838E5"/>
    <w:rsid w:val="00085008"/>
    <w:rsid w:val="000858CE"/>
    <w:rsid w:val="000A273C"/>
    <w:rsid w:val="000A61A1"/>
    <w:rsid w:val="000B4020"/>
    <w:rsid w:val="000C0767"/>
    <w:rsid w:val="000C1593"/>
    <w:rsid w:val="000C1FC0"/>
    <w:rsid w:val="000C41A3"/>
    <w:rsid w:val="000C5AF2"/>
    <w:rsid w:val="000D20AA"/>
    <w:rsid w:val="000D4CF3"/>
    <w:rsid w:val="000E2305"/>
    <w:rsid w:val="000E2685"/>
    <w:rsid w:val="000E5F28"/>
    <w:rsid w:val="000E6C05"/>
    <w:rsid w:val="000F041E"/>
    <w:rsid w:val="001008A7"/>
    <w:rsid w:val="00104CA6"/>
    <w:rsid w:val="00107982"/>
    <w:rsid w:val="001120C5"/>
    <w:rsid w:val="00120252"/>
    <w:rsid w:val="00120421"/>
    <w:rsid w:val="001306FF"/>
    <w:rsid w:val="00131E01"/>
    <w:rsid w:val="0013576E"/>
    <w:rsid w:val="001362D8"/>
    <w:rsid w:val="00136886"/>
    <w:rsid w:val="00136CE7"/>
    <w:rsid w:val="001427B1"/>
    <w:rsid w:val="00143A74"/>
    <w:rsid w:val="00146218"/>
    <w:rsid w:val="00147315"/>
    <w:rsid w:val="00156192"/>
    <w:rsid w:val="00156475"/>
    <w:rsid w:val="00156711"/>
    <w:rsid w:val="00157EEC"/>
    <w:rsid w:val="001607AF"/>
    <w:rsid w:val="00160EE2"/>
    <w:rsid w:val="001621CA"/>
    <w:rsid w:val="00171A18"/>
    <w:rsid w:val="001730F0"/>
    <w:rsid w:val="00173F47"/>
    <w:rsid w:val="0017476C"/>
    <w:rsid w:val="00175B9F"/>
    <w:rsid w:val="00175ED9"/>
    <w:rsid w:val="00185241"/>
    <w:rsid w:val="00186FA9"/>
    <w:rsid w:val="00190F62"/>
    <w:rsid w:val="001931B2"/>
    <w:rsid w:val="0019599A"/>
    <w:rsid w:val="001970B3"/>
    <w:rsid w:val="00197B0F"/>
    <w:rsid w:val="00197F94"/>
    <w:rsid w:val="001B6E0D"/>
    <w:rsid w:val="001C36FC"/>
    <w:rsid w:val="001C4ABA"/>
    <w:rsid w:val="001C54CA"/>
    <w:rsid w:val="001C5E21"/>
    <w:rsid w:val="001C7398"/>
    <w:rsid w:val="001D043A"/>
    <w:rsid w:val="001D05EE"/>
    <w:rsid w:val="001D4E9D"/>
    <w:rsid w:val="001E30F8"/>
    <w:rsid w:val="001E3F3C"/>
    <w:rsid w:val="001E6EDA"/>
    <w:rsid w:val="001F21E9"/>
    <w:rsid w:val="001F5D7E"/>
    <w:rsid w:val="001F77BB"/>
    <w:rsid w:val="00201A94"/>
    <w:rsid w:val="002051FF"/>
    <w:rsid w:val="002116FD"/>
    <w:rsid w:val="002166F9"/>
    <w:rsid w:val="00217411"/>
    <w:rsid w:val="0022446E"/>
    <w:rsid w:val="00225D7C"/>
    <w:rsid w:val="00226667"/>
    <w:rsid w:val="0023025B"/>
    <w:rsid w:val="002304E2"/>
    <w:rsid w:val="0023114C"/>
    <w:rsid w:val="00235F4E"/>
    <w:rsid w:val="00243088"/>
    <w:rsid w:val="00245CA8"/>
    <w:rsid w:val="002509C9"/>
    <w:rsid w:val="00252360"/>
    <w:rsid w:val="00252975"/>
    <w:rsid w:val="00255A9D"/>
    <w:rsid w:val="00262F71"/>
    <w:rsid w:val="00263382"/>
    <w:rsid w:val="00264B87"/>
    <w:rsid w:val="00270E3C"/>
    <w:rsid w:val="00273990"/>
    <w:rsid w:val="002747B4"/>
    <w:rsid w:val="00274A4C"/>
    <w:rsid w:val="002758AE"/>
    <w:rsid w:val="0028189C"/>
    <w:rsid w:val="00285F2B"/>
    <w:rsid w:val="002929B9"/>
    <w:rsid w:val="002940A6"/>
    <w:rsid w:val="002954E5"/>
    <w:rsid w:val="002B2C7F"/>
    <w:rsid w:val="002B5E45"/>
    <w:rsid w:val="002B70F6"/>
    <w:rsid w:val="002D2343"/>
    <w:rsid w:val="002D2750"/>
    <w:rsid w:val="002D34CC"/>
    <w:rsid w:val="002D3D01"/>
    <w:rsid w:val="002F076C"/>
    <w:rsid w:val="002F7E58"/>
    <w:rsid w:val="00300167"/>
    <w:rsid w:val="00303C37"/>
    <w:rsid w:val="00304230"/>
    <w:rsid w:val="003046DF"/>
    <w:rsid w:val="003048A4"/>
    <w:rsid w:val="00305962"/>
    <w:rsid w:val="003102AF"/>
    <w:rsid w:val="00315257"/>
    <w:rsid w:val="00315FB0"/>
    <w:rsid w:val="0031689D"/>
    <w:rsid w:val="0032161C"/>
    <w:rsid w:val="00332475"/>
    <w:rsid w:val="003348F7"/>
    <w:rsid w:val="00335112"/>
    <w:rsid w:val="00335CA5"/>
    <w:rsid w:val="003362B1"/>
    <w:rsid w:val="00336758"/>
    <w:rsid w:val="00343009"/>
    <w:rsid w:val="0034671F"/>
    <w:rsid w:val="00347453"/>
    <w:rsid w:val="003525DF"/>
    <w:rsid w:val="003574D3"/>
    <w:rsid w:val="00360ED9"/>
    <w:rsid w:val="0036298A"/>
    <w:rsid w:val="00367B5A"/>
    <w:rsid w:val="003727EF"/>
    <w:rsid w:val="00373B49"/>
    <w:rsid w:val="00374B12"/>
    <w:rsid w:val="00382F51"/>
    <w:rsid w:val="00383BFC"/>
    <w:rsid w:val="00386554"/>
    <w:rsid w:val="0039472D"/>
    <w:rsid w:val="00394C91"/>
    <w:rsid w:val="003958AA"/>
    <w:rsid w:val="003959FE"/>
    <w:rsid w:val="00397071"/>
    <w:rsid w:val="003A7548"/>
    <w:rsid w:val="003B200C"/>
    <w:rsid w:val="003B2B58"/>
    <w:rsid w:val="003B2EBF"/>
    <w:rsid w:val="003C1FC6"/>
    <w:rsid w:val="003C274A"/>
    <w:rsid w:val="003C2CF2"/>
    <w:rsid w:val="003C37B7"/>
    <w:rsid w:val="003C57FC"/>
    <w:rsid w:val="003D12B8"/>
    <w:rsid w:val="003D2895"/>
    <w:rsid w:val="003D3160"/>
    <w:rsid w:val="003D37C7"/>
    <w:rsid w:val="003D41C5"/>
    <w:rsid w:val="003D60CF"/>
    <w:rsid w:val="003E00D7"/>
    <w:rsid w:val="003E1BFD"/>
    <w:rsid w:val="003E76D8"/>
    <w:rsid w:val="003F1BB9"/>
    <w:rsid w:val="003F1CAB"/>
    <w:rsid w:val="004001C7"/>
    <w:rsid w:val="004007B3"/>
    <w:rsid w:val="00402F5A"/>
    <w:rsid w:val="0040412C"/>
    <w:rsid w:val="004050EA"/>
    <w:rsid w:val="00407229"/>
    <w:rsid w:val="004075C7"/>
    <w:rsid w:val="004138F6"/>
    <w:rsid w:val="00413E89"/>
    <w:rsid w:val="00417658"/>
    <w:rsid w:val="004215DD"/>
    <w:rsid w:val="004238D0"/>
    <w:rsid w:val="00430064"/>
    <w:rsid w:val="0043310A"/>
    <w:rsid w:val="00434011"/>
    <w:rsid w:val="004369D4"/>
    <w:rsid w:val="00440D91"/>
    <w:rsid w:val="0044474C"/>
    <w:rsid w:val="00445137"/>
    <w:rsid w:val="00453735"/>
    <w:rsid w:val="00453ACB"/>
    <w:rsid w:val="0045462D"/>
    <w:rsid w:val="00464DD0"/>
    <w:rsid w:val="00470B36"/>
    <w:rsid w:val="004745CC"/>
    <w:rsid w:val="00475617"/>
    <w:rsid w:val="00476481"/>
    <w:rsid w:val="004773BD"/>
    <w:rsid w:val="00477411"/>
    <w:rsid w:val="00480C44"/>
    <w:rsid w:val="004877A5"/>
    <w:rsid w:val="00487985"/>
    <w:rsid w:val="00490A57"/>
    <w:rsid w:val="0049133D"/>
    <w:rsid w:val="00492DD8"/>
    <w:rsid w:val="004A3103"/>
    <w:rsid w:val="004A4F05"/>
    <w:rsid w:val="004A51BA"/>
    <w:rsid w:val="004A78B7"/>
    <w:rsid w:val="004B1D92"/>
    <w:rsid w:val="004B5EDB"/>
    <w:rsid w:val="004C42F8"/>
    <w:rsid w:val="004C432A"/>
    <w:rsid w:val="004C469D"/>
    <w:rsid w:val="004C4AA1"/>
    <w:rsid w:val="004C5112"/>
    <w:rsid w:val="004C7A9B"/>
    <w:rsid w:val="004D3F27"/>
    <w:rsid w:val="004D47DD"/>
    <w:rsid w:val="004D54B0"/>
    <w:rsid w:val="004E1B65"/>
    <w:rsid w:val="004F0B9D"/>
    <w:rsid w:val="004F4C8F"/>
    <w:rsid w:val="004F739A"/>
    <w:rsid w:val="00501132"/>
    <w:rsid w:val="00506A8F"/>
    <w:rsid w:val="005109EB"/>
    <w:rsid w:val="00512DDD"/>
    <w:rsid w:val="00515D06"/>
    <w:rsid w:val="00521AE4"/>
    <w:rsid w:val="005226FB"/>
    <w:rsid w:val="00531785"/>
    <w:rsid w:val="00534A92"/>
    <w:rsid w:val="00535010"/>
    <w:rsid w:val="00540F8E"/>
    <w:rsid w:val="00542EDB"/>
    <w:rsid w:val="005457E2"/>
    <w:rsid w:val="005461AA"/>
    <w:rsid w:val="0054669E"/>
    <w:rsid w:val="0054701D"/>
    <w:rsid w:val="00547ED3"/>
    <w:rsid w:val="005506DD"/>
    <w:rsid w:val="0055182C"/>
    <w:rsid w:val="00552C2A"/>
    <w:rsid w:val="00553283"/>
    <w:rsid w:val="00555DDE"/>
    <w:rsid w:val="00570B76"/>
    <w:rsid w:val="00570F55"/>
    <w:rsid w:val="00573FB4"/>
    <w:rsid w:val="00577DEF"/>
    <w:rsid w:val="00580046"/>
    <w:rsid w:val="00581F4C"/>
    <w:rsid w:val="0058465E"/>
    <w:rsid w:val="005867BE"/>
    <w:rsid w:val="0058724F"/>
    <w:rsid w:val="00590145"/>
    <w:rsid w:val="00590396"/>
    <w:rsid w:val="0059125A"/>
    <w:rsid w:val="00592EC6"/>
    <w:rsid w:val="005977E2"/>
    <w:rsid w:val="005A28E7"/>
    <w:rsid w:val="005A5B6F"/>
    <w:rsid w:val="005A70F8"/>
    <w:rsid w:val="005B3269"/>
    <w:rsid w:val="005B773A"/>
    <w:rsid w:val="005C0E5F"/>
    <w:rsid w:val="005C4DF3"/>
    <w:rsid w:val="005C7438"/>
    <w:rsid w:val="005D029D"/>
    <w:rsid w:val="005E0EE1"/>
    <w:rsid w:val="005E1F83"/>
    <w:rsid w:val="005E2224"/>
    <w:rsid w:val="005E30BC"/>
    <w:rsid w:val="005E3756"/>
    <w:rsid w:val="005E6F4B"/>
    <w:rsid w:val="005E6F6C"/>
    <w:rsid w:val="005F4240"/>
    <w:rsid w:val="005F6F5A"/>
    <w:rsid w:val="00606A1F"/>
    <w:rsid w:val="00610820"/>
    <w:rsid w:val="0061113E"/>
    <w:rsid w:val="00612DD8"/>
    <w:rsid w:val="0061309D"/>
    <w:rsid w:val="00622886"/>
    <w:rsid w:val="00623C29"/>
    <w:rsid w:val="00624D96"/>
    <w:rsid w:val="006272CA"/>
    <w:rsid w:val="00631630"/>
    <w:rsid w:val="0063394B"/>
    <w:rsid w:val="00642197"/>
    <w:rsid w:val="00642331"/>
    <w:rsid w:val="00642EDE"/>
    <w:rsid w:val="006502E3"/>
    <w:rsid w:val="00651807"/>
    <w:rsid w:val="00654066"/>
    <w:rsid w:val="00655149"/>
    <w:rsid w:val="00657366"/>
    <w:rsid w:val="0065759E"/>
    <w:rsid w:val="00657C3E"/>
    <w:rsid w:val="0067001F"/>
    <w:rsid w:val="00672893"/>
    <w:rsid w:val="00674519"/>
    <w:rsid w:val="0068101C"/>
    <w:rsid w:val="00690569"/>
    <w:rsid w:val="006928C7"/>
    <w:rsid w:val="00697DD3"/>
    <w:rsid w:val="006A1956"/>
    <w:rsid w:val="006A3080"/>
    <w:rsid w:val="006A5BC0"/>
    <w:rsid w:val="006A6875"/>
    <w:rsid w:val="006A7E65"/>
    <w:rsid w:val="006C2F88"/>
    <w:rsid w:val="006C57A2"/>
    <w:rsid w:val="006C7F31"/>
    <w:rsid w:val="006D0909"/>
    <w:rsid w:val="006D1AF9"/>
    <w:rsid w:val="006D6292"/>
    <w:rsid w:val="006D6B12"/>
    <w:rsid w:val="006E2F7C"/>
    <w:rsid w:val="006F5AD5"/>
    <w:rsid w:val="006F7BD6"/>
    <w:rsid w:val="007011B3"/>
    <w:rsid w:val="00707527"/>
    <w:rsid w:val="0071115D"/>
    <w:rsid w:val="007123E9"/>
    <w:rsid w:val="00714F0C"/>
    <w:rsid w:val="00715ED0"/>
    <w:rsid w:val="0071718B"/>
    <w:rsid w:val="00720902"/>
    <w:rsid w:val="00721683"/>
    <w:rsid w:val="00722FE4"/>
    <w:rsid w:val="007254F4"/>
    <w:rsid w:val="00725582"/>
    <w:rsid w:val="007305EC"/>
    <w:rsid w:val="00732415"/>
    <w:rsid w:val="00732845"/>
    <w:rsid w:val="007406E1"/>
    <w:rsid w:val="00744D5B"/>
    <w:rsid w:val="007500E0"/>
    <w:rsid w:val="00751E21"/>
    <w:rsid w:val="00756914"/>
    <w:rsid w:val="00763068"/>
    <w:rsid w:val="007635AC"/>
    <w:rsid w:val="00766848"/>
    <w:rsid w:val="00782D86"/>
    <w:rsid w:val="0078423D"/>
    <w:rsid w:val="0078645E"/>
    <w:rsid w:val="00790989"/>
    <w:rsid w:val="00791B26"/>
    <w:rsid w:val="00791C24"/>
    <w:rsid w:val="007976B2"/>
    <w:rsid w:val="007A0F21"/>
    <w:rsid w:val="007A42D7"/>
    <w:rsid w:val="007A51A9"/>
    <w:rsid w:val="007B0F3C"/>
    <w:rsid w:val="007B2408"/>
    <w:rsid w:val="007B401F"/>
    <w:rsid w:val="007B47A4"/>
    <w:rsid w:val="007B6519"/>
    <w:rsid w:val="007B662E"/>
    <w:rsid w:val="007C2084"/>
    <w:rsid w:val="007C4701"/>
    <w:rsid w:val="007D1400"/>
    <w:rsid w:val="007D29F6"/>
    <w:rsid w:val="007D6329"/>
    <w:rsid w:val="007D6F3E"/>
    <w:rsid w:val="007D734A"/>
    <w:rsid w:val="007E1EC1"/>
    <w:rsid w:val="007E2F0D"/>
    <w:rsid w:val="007E5B32"/>
    <w:rsid w:val="007E5F56"/>
    <w:rsid w:val="007E6D3A"/>
    <w:rsid w:val="007F5E37"/>
    <w:rsid w:val="00800AFA"/>
    <w:rsid w:val="00805429"/>
    <w:rsid w:val="0081082E"/>
    <w:rsid w:val="0081402A"/>
    <w:rsid w:val="008204CD"/>
    <w:rsid w:val="008228B4"/>
    <w:rsid w:val="008239CA"/>
    <w:rsid w:val="00824C3E"/>
    <w:rsid w:val="00830CCF"/>
    <w:rsid w:val="00831DA9"/>
    <w:rsid w:val="00833B66"/>
    <w:rsid w:val="00834619"/>
    <w:rsid w:val="00835F28"/>
    <w:rsid w:val="008412D5"/>
    <w:rsid w:val="00842076"/>
    <w:rsid w:val="008443FA"/>
    <w:rsid w:val="00851EB7"/>
    <w:rsid w:val="0085358C"/>
    <w:rsid w:val="00855824"/>
    <w:rsid w:val="00856794"/>
    <w:rsid w:val="0086215E"/>
    <w:rsid w:val="008630DB"/>
    <w:rsid w:val="0086777C"/>
    <w:rsid w:val="00871363"/>
    <w:rsid w:val="00874B95"/>
    <w:rsid w:val="00875504"/>
    <w:rsid w:val="00877D83"/>
    <w:rsid w:val="0088115F"/>
    <w:rsid w:val="0088515A"/>
    <w:rsid w:val="008906B6"/>
    <w:rsid w:val="008906EE"/>
    <w:rsid w:val="00893822"/>
    <w:rsid w:val="008A1FD0"/>
    <w:rsid w:val="008A3FA3"/>
    <w:rsid w:val="008A4AD6"/>
    <w:rsid w:val="008A536D"/>
    <w:rsid w:val="008A64BE"/>
    <w:rsid w:val="008B2F32"/>
    <w:rsid w:val="008B31A1"/>
    <w:rsid w:val="008B3994"/>
    <w:rsid w:val="008B4C50"/>
    <w:rsid w:val="008B56B6"/>
    <w:rsid w:val="008B6696"/>
    <w:rsid w:val="008C660A"/>
    <w:rsid w:val="008D192C"/>
    <w:rsid w:val="008D25BA"/>
    <w:rsid w:val="008E155D"/>
    <w:rsid w:val="008E223E"/>
    <w:rsid w:val="008E5B66"/>
    <w:rsid w:val="008E60A1"/>
    <w:rsid w:val="008E6E91"/>
    <w:rsid w:val="008F066F"/>
    <w:rsid w:val="008F3FCD"/>
    <w:rsid w:val="009029E4"/>
    <w:rsid w:val="00903D9C"/>
    <w:rsid w:val="0090693E"/>
    <w:rsid w:val="00912352"/>
    <w:rsid w:val="009168FE"/>
    <w:rsid w:val="00920923"/>
    <w:rsid w:val="00923830"/>
    <w:rsid w:val="00923A51"/>
    <w:rsid w:val="00925BAB"/>
    <w:rsid w:val="00935B8D"/>
    <w:rsid w:val="009415DC"/>
    <w:rsid w:val="00946D47"/>
    <w:rsid w:val="00951805"/>
    <w:rsid w:val="00953356"/>
    <w:rsid w:val="00955DFC"/>
    <w:rsid w:val="00967E2F"/>
    <w:rsid w:val="00970530"/>
    <w:rsid w:val="0097304E"/>
    <w:rsid w:val="0097409D"/>
    <w:rsid w:val="009755CA"/>
    <w:rsid w:val="00982FA1"/>
    <w:rsid w:val="00985131"/>
    <w:rsid w:val="00985CA6"/>
    <w:rsid w:val="00992B68"/>
    <w:rsid w:val="00997398"/>
    <w:rsid w:val="00997AAA"/>
    <w:rsid w:val="009A07D0"/>
    <w:rsid w:val="009A0E33"/>
    <w:rsid w:val="009A164E"/>
    <w:rsid w:val="009B478B"/>
    <w:rsid w:val="009B498E"/>
    <w:rsid w:val="009B6528"/>
    <w:rsid w:val="009C01DF"/>
    <w:rsid w:val="009C6F7F"/>
    <w:rsid w:val="009C71FB"/>
    <w:rsid w:val="009D052C"/>
    <w:rsid w:val="009D0ED5"/>
    <w:rsid w:val="009D5E88"/>
    <w:rsid w:val="009E0453"/>
    <w:rsid w:val="009E3C83"/>
    <w:rsid w:val="009E61E5"/>
    <w:rsid w:val="009F3CA8"/>
    <w:rsid w:val="009F6695"/>
    <w:rsid w:val="00A009A5"/>
    <w:rsid w:val="00A02017"/>
    <w:rsid w:val="00A066B2"/>
    <w:rsid w:val="00A114BB"/>
    <w:rsid w:val="00A231DF"/>
    <w:rsid w:val="00A30073"/>
    <w:rsid w:val="00A30959"/>
    <w:rsid w:val="00A4508C"/>
    <w:rsid w:val="00A46823"/>
    <w:rsid w:val="00A50DBF"/>
    <w:rsid w:val="00A53378"/>
    <w:rsid w:val="00A537AF"/>
    <w:rsid w:val="00A55C70"/>
    <w:rsid w:val="00A60016"/>
    <w:rsid w:val="00A6276D"/>
    <w:rsid w:val="00A64411"/>
    <w:rsid w:val="00A73090"/>
    <w:rsid w:val="00A74362"/>
    <w:rsid w:val="00A75901"/>
    <w:rsid w:val="00A75EB8"/>
    <w:rsid w:val="00A808D3"/>
    <w:rsid w:val="00A81F40"/>
    <w:rsid w:val="00A82AAA"/>
    <w:rsid w:val="00A86EE6"/>
    <w:rsid w:val="00A933AF"/>
    <w:rsid w:val="00A95EF2"/>
    <w:rsid w:val="00AA11A3"/>
    <w:rsid w:val="00AA5B2F"/>
    <w:rsid w:val="00AB2A99"/>
    <w:rsid w:val="00AB3881"/>
    <w:rsid w:val="00AB5FB3"/>
    <w:rsid w:val="00AC1EDF"/>
    <w:rsid w:val="00AC464D"/>
    <w:rsid w:val="00AC75B3"/>
    <w:rsid w:val="00AD6300"/>
    <w:rsid w:val="00AE1DDA"/>
    <w:rsid w:val="00AE25F2"/>
    <w:rsid w:val="00AE3DF8"/>
    <w:rsid w:val="00AE54F8"/>
    <w:rsid w:val="00AE5630"/>
    <w:rsid w:val="00AE64B0"/>
    <w:rsid w:val="00AE64E6"/>
    <w:rsid w:val="00AE6835"/>
    <w:rsid w:val="00AF12BA"/>
    <w:rsid w:val="00AF738B"/>
    <w:rsid w:val="00B0530E"/>
    <w:rsid w:val="00B11F2E"/>
    <w:rsid w:val="00B1328E"/>
    <w:rsid w:val="00B135B4"/>
    <w:rsid w:val="00B148F2"/>
    <w:rsid w:val="00B16508"/>
    <w:rsid w:val="00B1755A"/>
    <w:rsid w:val="00B271E9"/>
    <w:rsid w:val="00B2793B"/>
    <w:rsid w:val="00B32E85"/>
    <w:rsid w:val="00B36E3C"/>
    <w:rsid w:val="00B414C7"/>
    <w:rsid w:val="00B42ACA"/>
    <w:rsid w:val="00B43D6F"/>
    <w:rsid w:val="00B4417C"/>
    <w:rsid w:val="00B519D4"/>
    <w:rsid w:val="00B54E4A"/>
    <w:rsid w:val="00B55C5C"/>
    <w:rsid w:val="00B618D0"/>
    <w:rsid w:val="00B6279E"/>
    <w:rsid w:val="00B65533"/>
    <w:rsid w:val="00B73D2B"/>
    <w:rsid w:val="00B74BD6"/>
    <w:rsid w:val="00B74D0C"/>
    <w:rsid w:val="00B75DF2"/>
    <w:rsid w:val="00B77611"/>
    <w:rsid w:val="00B83C46"/>
    <w:rsid w:val="00B85CD4"/>
    <w:rsid w:val="00B919DD"/>
    <w:rsid w:val="00B943D0"/>
    <w:rsid w:val="00B94D3C"/>
    <w:rsid w:val="00BA6280"/>
    <w:rsid w:val="00BB2893"/>
    <w:rsid w:val="00BD1D8E"/>
    <w:rsid w:val="00BD2B5C"/>
    <w:rsid w:val="00BD4F83"/>
    <w:rsid w:val="00BD6E3D"/>
    <w:rsid w:val="00BE142A"/>
    <w:rsid w:val="00BE32A3"/>
    <w:rsid w:val="00BE6CE6"/>
    <w:rsid w:val="00BF0B6C"/>
    <w:rsid w:val="00BF6BB2"/>
    <w:rsid w:val="00BF7743"/>
    <w:rsid w:val="00C11E3A"/>
    <w:rsid w:val="00C1285D"/>
    <w:rsid w:val="00C14FCE"/>
    <w:rsid w:val="00C16029"/>
    <w:rsid w:val="00C163D8"/>
    <w:rsid w:val="00C17C40"/>
    <w:rsid w:val="00C21368"/>
    <w:rsid w:val="00C310CF"/>
    <w:rsid w:val="00C311B3"/>
    <w:rsid w:val="00C33064"/>
    <w:rsid w:val="00C4047C"/>
    <w:rsid w:val="00C40820"/>
    <w:rsid w:val="00C437AB"/>
    <w:rsid w:val="00C43A52"/>
    <w:rsid w:val="00C5152B"/>
    <w:rsid w:val="00C51C9A"/>
    <w:rsid w:val="00C53811"/>
    <w:rsid w:val="00C63132"/>
    <w:rsid w:val="00C6529F"/>
    <w:rsid w:val="00C65C4B"/>
    <w:rsid w:val="00C715F2"/>
    <w:rsid w:val="00C71BFF"/>
    <w:rsid w:val="00C74147"/>
    <w:rsid w:val="00C7671C"/>
    <w:rsid w:val="00C800AC"/>
    <w:rsid w:val="00C8294B"/>
    <w:rsid w:val="00C87128"/>
    <w:rsid w:val="00C93503"/>
    <w:rsid w:val="00C95C1C"/>
    <w:rsid w:val="00CA2AEA"/>
    <w:rsid w:val="00CA35E0"/>
    <w:rsid w:val="00CA373F"/>
    <w:rsid w:val="00CA42EF"/>
    <w:rsid w:val="00CA50AD"/>
    <w:rsid w:val="00CB0EF1"/>
    <w:rsid w:val="00CB3571"/>
    <w:rsid w:val="00CB4DA4"/>
    <w:rsid w:val="00CC40D4"/>
    <w:rsid w:val="00CC5605"/>
    <w:rsid w:val="00CC775B"/>
    <w:rsid w:val="00CD5A6B"/>
    <w:rsid w:val="00CD7B48"/>
    <w:rsid w:val="00CE1793"/>
    <w:rsid w:val="00CF1245"/>
    <w:rsid w:val="00CF3BDB"/>
    <w:rsid w:val="00CF4ECB"/>
    <w:rsid w:val="00CF7030"/>
    <w:rsid w:val="00D06FB7"/>
    <w:rsid w:val="00D0786F"/>
    <w:rsid w:val="00D14FF3"/>
    <w:rsid w:val="00D17FBC"/>
    <w:rsid w:val="00D23074"/>
    <w:rsid w:val="00D23FD6"/>
    <w:rsid w:val="00D312CB"/>
    <w:rsid w:val="00D343B0"/>
    <w:rsid w:val="00D35578"/>
    <w:rsid w:val="00D371F4"/>
    <w:rsid w:val="00D44FF5"/>
    <w:rsid w:val="00D455E3"/>
    <w:rsid w:val="00D54213"/>
    <w:rsid w:val="00D57877"/>
    <w:rsid w:val="00D605C1"/>
    <w:rsid w:val="00D614C9"/>
    <w:rsid w:val="00D654DE"/>
    <w:rsid w:val="00D706D6"/>
    <w:rsid w:val="00D70B48"/>
    <w:rsid w:val="00D71624"/>
    <w:rsid w:val="00D71CA5"/>
    <w:rsid w:val="00D72B53"/>
    <w:rsid w:val="00D83398"/>
    <w:rsid w:val="00D84110"/>
    <w:rsid w:val="00D84B5E"/>
    <w:rsid w:val="00D86755"/>
    <w:rsid w:val="00D87424"/>
    <w:rsid w:val="00D8762C"/>
    <w:rsid w:val="00D907E1"/>
    <w:rsid w:val="00D9584B"/>
    <w:rsid w:val="00DA238C"/>
    <w:rsid w:val="00DA3218"/>
    <w:rsid w:val="00DA3CB6"/>
    <w:rsid w:val="00DA7523"/>
    <w:rsid w:val="00DA75F1"/>
    <w:rsid w:val="00DB1A57"/>
    <w:rsid w:val="00DB4892"/>
    <w:rsid w:val="00DB5781"/>
    <w:rsid w:val="00DC1938"/>
    <w:rsid w:val="00DC5D91"/>
    <w:rsid w:val="00DC60C1"/>
    <w:rsid w:val="00DE0034"/>
    <w:rsid w:val="00DE008F"/>
    <w:rsid w:val="00DE0391"/>
    <w:rsid w:val="00DE2290"/>
    <w:rsid w:val="00DE377A"/>
    <w:rsid w:val="00DF0B83"/>
    <w:rsid w:val="00DF0FC4"/>
    <w:rsid w:val="00DF1529"/>
    <w:rsid w:val="00DF3BA1"/>
    <w:rsid w:val="00DF5539"/>
    <w:rsid w:val="00DF7029"/>
    <w:rsid w:val="00E004FD"/>
    <w:rsid w:val="00E0378C"/>
    <w:rsid w:val="00E05F0C"/>
    <w:rsid w:val="00E11CF2"/>
    <w:rsid w:val="00E136AE"/>
    <w:rsid w:val="00E142D5"/>
    <w:rsid w:val="00E14E69"/>
    <w:rsid w:val="00E1676D"/>
    <w:rsid w:val="00E17340"/>
    <w:rsid w:val="00E326D2"/>
    <w:rsid w:val="00E32BDA"/>
    <w:rsid w:val="00E356B2"/>
    <w:rsid w:val="00E36D78"/>
    <w:rsid w:val="00E4341F"/>
    <w:rsid w:val="00E46913"/>
    <w:rsid w:val="00E50A75"/>
    <w:rsid w:val="00E50D47"/>
    <w:rsid w:val="00E5291F"/>
    <w:rsid w:val="00E54A1F"/>
    <w:rsid w:val="00E6327B"/>
    <w:rsid w:val="00E643CA"/>
    <w:rsid w:val="00E664B3"/>
    <w:rsid w:val="00E738ED"/>
    <w:rsid w:val="00E76D02"/>
    <w:rsid w:val="00E779A7"/>
    <w:rsid w:val="00E80715"/>
    <w:rsid w:val="00E81101"/>
    <w:rsid w:val="00E83109"/>
    <w:rsid w:val="00E83BC1"/>
    <w:rsid w:val="00E84932"/>
    <w:rsid w:val="00E86F67"/>
    <w:rsid w:val="00E91906"/>
    <w:rsid w:val="00E92BF5"/>
    <w:rsid w:val="00E96673"/>
    <w:rsid w:val="00EA12A9"/>
    <w:rsid w:val="00EA6960"/>
    <w:rsid w:val="00EB1933"/>
    <w:rsid w:val="00EC02FE"/>
    <w:rsid w:val="00EC5830"/>
    <w:rsid w:val="00EC66EF"/>
    <w:rsid w:val="00ED064E"/>
    <w:rsid w:val="00ED3F0A"/>
    <w:rsid w:val="00ED456F"/>
    <w:rsid w:val="00EE03D9"/>
    <w:rsid w:val="00EE5B27"/>
    <w:rsid w:val="00EE691B"/>
    <w:rsid w:val="00EF0248"/>
    <w:rsid w:val="00F00377"/>
    <w:rsid w:val="00F0117D"/>
    <w:rsid w:val="00F01DF0"/>
    <w:rsid w:val="00F03A22"/>
    <w:rsid w:val="00F10096"/>
    <w:rsid w:val="00F113BD"/>
    <w:rsid w:val="00F12CB4"/>
    <w:rsid w:val="00F13777"/>
    <w:rsid w:val="00F204A8"/>
    <w:rsid w:val="00F20578"/>
    <w:rsid w:val="00F21DEF"/>
    <w:rsid w:val="00F22C3E"/>
    <w:rsid w:val="00F23574"/>
    <w:rsid w:val="00F23D1E"/>
    <w:rsid w:val="00F2402B"/>
    <w:rsid w:val="00F245C1"/>
    <w:rsid w:val="00F25C33"/>
    <w:rsid w:val="00F267D7"/>
    <w:rsid w:val="00F26A91"/>
    <w:rsid w:val="00F3096F"/>
    <w:rsid w:val="00F3394E"/>
    <w:rsid w:val="00F33E02"/>
    <w:rsid w:val="00F37944"/>
    <w:rsid w:val="00F41B5F"/>
    <w:rsid w:val="00F50567"/>
    <w:rsid w:val="00F5375B"/>
    <w:rsid w:val="00F5402F"/>
    <w:rsid w:val="00F60CB1"/>
    <w:rsid w:val="00F616BE"/>
    <w:rsid w:val="00F61F2E"/>
    <w:rsid w:val="00F624E3"/>
    <w:rsid w:val="00F64B85"/>
    <w:rsid w:val="00F67CD8"/>
    <w:rsid w:val="00F70F27"/>
    <w:rsid w:val="00F716F3"/>
    <w:rsid w:val="00F734EB"/>
    <w:rsid w:val="00F73AE8"/>
    <w:rsid w:val="00F8256C"/>
    <w:rsid w:val="00F83DC0"/>
    <w:rsid w:val="00F844F5"/>
    <w:rsid w:val="00F873F4"/>
    <w:rsid w:val="00F9152F"/>
    <w:rsid w:val="00F93EE2"/>
    <w:rsid w:val="00F959AF"/>
    <w:rsid w:val="00FA0700"/>
    <w:rsid w:val="00FA60E8"/>
    <w:rsid w:val="00FB0D66"/>
    <w:rsid w:val="00FB4FD0"/>
    <w:rsid w:val="00FC1F93"/>
    <w:rsid w:val="00FC2FD5"/>
    <w:rsid w:val="00FC3FEF"/>
    <w:rsid w:val="00FC41F2"/>
    <w:rsid w:val="00FC46AC"/>
    <w:rsid w:val="00FC7292"/>
    <w:rsid w:val="00FD7A76"/>
    <w:rsid w:val="00FF3096"/>
    <w:rsid w:val="00FF6645"/>
    <w:rsid w:val="00FF76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CBBCA2"/>
  <w15:docId w15:val="{B5F6590A-30D2-407B-AB45-9A8D7598E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lsdException w:name="heading 5" w:semiHidden="1" w:uiPriority="9"/>
    <w:lsdException w:name="heading 6"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unhideWhenUsed="1"/>
    <w:lsdException w:name="toc 2" w:locked="0" w:uiPriority="39" w:unhideWhenUsed="1"/>
    <w:lsdException w:name="toc 3" w:locked="0" w:uiPriority="39" w:unhideWhenUsed="1"/>
    <w:lsdException w:name="toc 4" w:locked="0" w:uiPriority="39" w:unhideWhenUsed="1"/>
    <w:lsdException w:name="toc 5" w:locked="0" w:uiPriority="39" w:unhideWhenUsed="1"/>
    <w:lsdException w:name="toc 6" w:locked="0" w:uiPriority="39" w:unhideWhenUsed="1"/>
    <w:lsdException w:name="toc 7" w:locked="0" w:uiPriority="39" w:unhideWhenUsed="1"/>
    <w:lsdException w:name="toc 8" w:locked="0"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locked="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003EF4"/>
    <w:pPr>
      <w:spacing w:after="120"/>
    </w:pPr>
    <w:rPr>
      <w:rFonts w:ascii="Segoe UI Historic" w:eastAsiaTheme="minorEastAsia" w:hAnsi="Segoe UI Historic"/>
      <w:lang w:val="en-GB"/>
    </w:rPr>
  </w:style>
  <w:style w:type="paragraph" w:styleId="Heading1">
    <w:name w:val="heading 1"/>
    <w:next w:val="Normal"/>
    <w:link w:val="Heading1Char"/>
    <w:uiPriority w:val="29"/>
    <w:qFormat/>
    <w:rsid w:val="00156192"/>
    <w:pPr>
      <w:numPr>
        <w:numId w:val="1"/>
      </w:numPr>
      <w:spacing w:before="360" w:after="180" w:line="220" w:lineRule="atLeast"/>
      <w:contextualSpacing/>
      <w:outlineLvl w:val="0"/>
    </w:pPr>
    <w:rPr>
      <w:rFonts w:ascii="Segoe UI Historic" w:eastAsiaTheme="majorEastAsia" w:hAnsi="Segoe UI Historic" w:cs="Times New Roman (Headings CS)"/>
      <w:b/>
      <w:bCs/>
      <w:caps/>
      <w:color w:val="000000" w:themeColor="text1"/>
      <w:sz w:val="26"/>
      <w:szCs w:val="28"/>
      <w:lang w:val="en-GB"/>
    </w:rPr>
  </w:style>
  <w:style w:type="paragraph" w:styleId="Heading2">
    <w:name w:val="heading 2"/>
    <w:next w:val="Normal"/>
    <w:link w:val="Heading2Char"/>
    <w:uiPriority w:val="29"/>
    <w:qFormat/>
    <w:rsid w:val="008A3FA3"/>
    <w:pPr>
      <w:keepNext/>
      <w:numPr>
        <w:ilvl w:val="1"/>
        <w:numId w:val="1"/>
      </w:numPr>
      <w:tabs>
        <w:tab w:val="left" w:pos="992"/>
      </w:tabs>
      <w:spacing w:before="240" w:after="120" w:line="220" w:lineRule="atLeast"/>
      <w:outlineLvl w:val="1"/>
    </w:pPr>
    <w:rPr>
      <w:rFonts w:ascii="Segoe UI Historic" w:eastAsiaTheme="majorEastAsia" w:hAnsi="Segoe UI Historic" w:cstheme="majorBidi"/>
      <w:b/>
      <w:bCs/>
      <w:szCs w:val="26"/>
      <w:lang w:val="en-GB"/>
    </w:rPr>
  </w:style>
  <w:style w:type="paragraph" w:styleId="Heading3">
    <w:name w:val="heading 3"/>
    <w:next w:val="Normal"/>
    <w:link w:val="Heading3Char"/>
    <w:uiPriority w:val="29"/>
    <w:qFormat/>
    <w:rsid w:val="008A3FA3"/>
    <w:pPr>
      <w:keepNext/>
      <w:numPr>
        <w:ilvl w:val="2"/>
        <w:numId w:val="1"/>
      </w:numPr>
      <w:tabs>
        <w:tab w:val="left" w:pos="992"/>
      </w:tabs>
      <w:spacing w:before="240" w:after="60" w:line="220" w:lineRule="atLeast"/>
      <w:outlineLvl w:val="2"/>
    </w:pPr>
    <w:rPr>
      <w:rFonts w:ascii="Segoe UI Historic" w:eastAsiaTheme="majorEastAsia" w:hAnsi="Segoe UI Historic" w:cstheme="majorBidi"/>
      <w:bCs/>
      <w:i/>
      <w:lang w:val="en-GB"/>
    </w:rPr>
  </w:style>
  <w:style w:type="paragraph" w:styleId="Heading4">
    <w:name w:val="heading 4"/>
    <w:next w:val="Normal"/>
    <w:link w:val="Heading4Char"/>
    <w:uiPriority w:val="29"/>
    <w:rsid w:val="008A3FA3"/>
    <w:pPr>
      <w:keepNext/>
      <w:tabs>
        <w:tab w:val="left" w:pos="992"/>
      </w:tabs>
      <w:spacing w:before="240" w:after="30" w:line="220" w:lineRule="atLeast"/>
      <w:outlineLvl w:val="3"/>
    </w:pPr>
    <w:rPr>
      <w:rFonts w:ascii="Segoe UI Historic" w:eastAsiaTheme="majorEastAsia" w:hAnsi="Segoe UI Historic" w:cs="Times New Roman (Headings CS)"/>
      <w:b/>
      <w:bCs/>
      <w:i/>
      <w:iCs/>
      <w:lang w:val="en-GB"/>
    </w:rPr>
  </w:style>
  <w:style w:type="paragraph" w:styleId="Heading5">
    <w:name w:val="heading 5"/>
    <w:next w:val="Normal"/>
    <w:link w:val="Heading5Char"/>
    <w:uiPriority w:val="9"/>
    <w:semiHidden/>
    <w:locked/>
    <w:rsid w:val="008A3FA3"/>
    <w:pPr>
      <w:keepNext/>
      <w:keepLines/>
      <w:spacing w:before="240" w:after="15"/>
      <w:outlineLvl w:val="4"/>
    </w:pPr>
    <w:rPr>
      <w:rFonts w:ascii="Segoe UI Historic" w:eastAsiaTheme="majorEastAsia" w:hAnsi="Segoe UI Historic" w:cs="Times New Roman (Headings CS)"/>
      <w:color w:val="000000" w:themeColor="text1"/>
      <w:sz w:val="20"/>
      <w:lang w:val="en-GB"/>
    </w:rPr>
  </w:style>
  <w:style w:type="paragraph" w:styleId="Heading6">
    <w:name w:val="heading 6"/>
    <w:basedOn w:val="Normal"/>
    <w:next w:val="Normal"/>
    <w:link w:val="Heading6Char"/>
    <w:uiPriority w:val="9"/>
    <w:semiHidden/>
    <w:locked/>
    <w:rsid w:val="008A3FA3"/>
    <w:pPr>
      <w:keepNext/>
      <w:keepLines/>
      <w:spacing w:before="120" w:after="0"/>
      <w:outlineLvl w:val="5"/>
    </w:pPr>
    <w:rPr>
      <w:rFonts w:eastAsiaTheme="majorEastAsia" w:cstheme="majorBidi"/>
      <w:i/>
      <w:color w:val="808080" w:themeColor="background1" w:themeShade="80"/>
      <w:sz w:val="20"/>
    </w:rPr>
  </w:style>
  <w:style w:type="paragraph" w:styleId="Heading7">
    <w:name w:val="heading 7"/>
    <w:basedOn w:val="Normal"/>
    <w:next w:val="Normal"/>
    <w:link w:val="Heading7Char"/>
    <w:uiPriority w:val="9"/>
    <w:semiHidden/>
    <w:unhideWhenUsed/>
    <w:locked/>
    <w:rsid w:val="00CD7B4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locked/>
    <w:rsid w:val="00CD7B4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locked/>
    <w:rsid w:val="00CD7B4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9"/>
    <w:rsid w:val="00156192"/>
    <w:rPr>
      <w:rFonts w:ascii="Segoe UI Historic" w:eastAsiaTheme="majorEastAsia" w:hAnsi="Segoe UI Historic" w:cs="Times New Roman (Headings CS)"/>
      <w:b/>
      <w:bCs/>
      <w:caps/>
      <w:color w:val="000000" w:themeColor="text1"/>
      <w:sz w:val="26"/>
      <w:szCs w:val="28"/>
      <w:lang w:val="en-GB"/>
    </w:rPr>
  </w:style>
  <w:style w:type="character" w:customStyle="1" w:styleId="Heading2Char">
    <w:name w:val="Heading 2 Char"/>
    <w:basedOn w:val="DefaultParagraphFont"/>
    <w:link w:val="Heading2"/>
    <w:uiPriority w:val="29"/>
    <w:rsid w:val="008A3FA3"/>
    <w:rPr>
      <w:rFonts w:ascii="Segoe UI Historic" w:eastAsiaTheme="majorEastAsia" w:hAnsi="Segoe UI Historic" w:cstheme="majorBidi"/>
      <w:b/>
      <w:bCs/>
      <w:szCs w:val="26"/>
      <w:lang w:val="en-GB"/>
    </w:rPr>
  </w:style>
  <w:style w:type="character" w:customStyle="1" w:styleId="Heading3Char">
    <w:name w:val="Heading 3 Char"/>
    <w:basedOn w:val="DefaultParagraphFont"/>
    <w:link w:val="Heading3"/>
    <w:uiPriority w:val="29"/>
    <w:rsid w:val="008A3FA3"/>
    <w:rPr>
      <w:rFonts w:ascii="Segoe UI Historic" w:eastAsiaTheme="majorEastAsia" w:hAnsi="Segoe UI Historic" w:cstheme="majorBidi"/>
      <w:bCs/>
      <w:i/>
      <w:lang w:val="en-GB"/>
    </w:rPr>
  </w:style>
  <w:style w:type="character" w:customStyle="1" w:styleId="Heading4Char">
    <w:name w:val="Heading 4 Char"/>
    <w:basedOn w:val="DefaultParagraphFont"/>
    <w:link w:val="Heading4"/>
    <w:uiPriority w:val="29"/>
    <w:rsid w:val="008A3FA3"/>
    <w:rPr>
      <w:rFonts w:ascii="Segoe UI Historic" w:eastAsiaTheme="majorEastAsia" w:hAnsi="Segoe UI Historic" w:cs="Times New Roman (Headings CS)"/>
      <w:b/>
      <w:bCs/>
      <w:i/>
      <w:iCs/>
      <w:lang w:val="en-GB"/>
    </w:rPr>
  </w:style>
  <w:style w:type="paragraph" w:styleId="FootnoteText">
    <w:name w:val="footnote text"/>
    <w:basedOn w:val="Normal"/>
    <w:link w:val="FootnoteTextChar"/>
    <w:uiPriority w:val="99"/>
    <w:unhideWhenUsed/>
    <w:locked/>
    <w:rsid w:val="00A114BB"/>
    <w:pPr>
      <w:spacing w:after="0"/>
    </w:pPr>
    <w:rPr>
      <w:sz w:val="15"/>
      <w:szCs w:val="24"/>
    </w:rPr>
  </w:style>
  <w:style w:type="character" w:customStyle="1" w:styleId="FootnoteTextChar">
    <w:name w:val="Footnote Text Char"/>
    <w:basedOn w:val="DefaultParagraphFont"/>
    <w:link w:val="FootnoteText"/>
    <w:uiPriority w:val="99"/>
    <w:rsid w:val="00A114BB"/>
    <w:rPr>
      <w:rFonts w:ascii="Segoe UI Historic" w:eastAsiaTheme="minorEastAsia" w:hAnsi="Segoe UI Historic"/>
      <w:sz w:val="15"/>
      <w:szCs w:val="24"/>
      <w:lang w:val="en-GB"/>
    </w:rPr>
  </w:style>
  <w:style w:type="character" w:styleId="FootnoteReference">
    <w:name w:val="footnote reference"/>
    <w:basedOn w:val="DefaultParagraphFont"/>
    <w:uiPriority w:val="99"/>
    <w:unhideWhenUsed/>
    <w:locked/>
    <w:rsid w:val="00A114BB"/>
    <w:rPr>
      <w:rFonts w:ascii="Segoe UI Historic" w:hAnsi="Segoe UI Historic"/>
      <w:sz w:val="15"/>
      <w:vertAlign w:val="superscript"/>
    </w:rPr>
  </w:style>
  <w:style w:type="paragraph" w:styleId="Caption">
    <w:name w:val="caption"/>
    <w:basedOn w:val="Normal"/>
    <w:next w:val="Normal"/>
    <w:uiPriority w:val="35"/>
    <w:semiHidden/>
    <w:qFormat/>
    <w:locked/>
    <w:rsid w:val="00856794"/>
    <w:pPr>
      <w:spacing w:after="200"/>
      <w:ind w:left="998" w:hanging="998"/>
    </w:pPr>
    <w:rPr>
      <w:b/>
      <w:bCs/>
      <w:sz w:val="20"/>
      <w:szCs w:val="20"/>
    </w:rPr>
  </w:style>
  <w:style w:type="paragraph" w:styleId="Header">
    <w:name w:val="header"/>
    <w:next w:val="Normal"/>
    <w:link w:val="HeaderChar"/>
    <w:uiPriority w:val="99"/>
    <w:unhideWhenUsed/>
    <w:rsid w:val="00A114BB"/>
    <w:rPr>
      <w:rFonts w:ascii="Segoe UI Historic" w:hAnsi="Segoe UI Historic"/>
      <w:sz w:val="16"/>
      <w:lang w:val="en-GB"/>
    </w:rPr>
  </w:style>
  <w:style w:type="character" w:customStyle="1" w:styleId="HeaderChar">
    <w:name w:val="Header Char"/>
    <w:basedOn w:val="DefaultParagraphFont"/>
    <w:link w:val="Header"/>
    <w:uiPriority w:val="99"/>
    <w:rsid w:val="00A114BB"/>
    <w:rPr>
      <w:rFonts w:ascii="Segoe UI Historic" w:hAnsi="Segoe UI Historic"/>
      <w:sz w:val="16"/>
      <w:lang w:val="en-GB"/>
    </w:rPr>
  </w:style>
  <w:style w:type="paragraph" w:styleId="Footer">
    <w:name w:val="footer"/>
    <w:next w:val="Normal"/>
    <w:link w:val="FooterChar"/>
    <w:unhideWhenUsed/>
    <w:rsid w:val="0090693E"/>
    <w:rPr>
      <w:rFonts w:ascii="Calibri" w:hAnsi="Calibri"/>
      <w:sz w:val="16"/>
      <w:lang w:val="en-GB"/>
    </w:rPr>
  </w:style>
  <w:style w:type="character" w:customStyle="1" w:styleId="FooterChar">
    <w:name w:val="Footer Char"/>
    <w:basedOn w:val="DefaultParagraphFont"/>
    <w:link w:val="Footer"/>
    <w:rsid w:val="0090693E"/>
    <w:rPr>
      <w:rFonts w:ascii="Calibri" w:hAnsi="Calibri"/>
      <w:sz w:val="16"/>
      <w:lang w:val="en-GB"/>
    </w:rPr>
  </w:style>
  <w:style w:type="paragraph" w:customStyle="1" w:styleId="ESS-AppendixTitle">
    <w:name w:val="ESS-Appendix Title"/>
    <w:next w:val="Normal"/>
    <w:uiPriority w:val="34"/>
    <w:rsid w:val="00651807"/>
    <w:pPr>
      <w:spacing w:after="120"/>
    </w:pPr>
    <w:rPr>
      <w:b/>
      <w:sz w:val="28"/>
      <w:lang w:val="en-GB"/>
    </w:rPr>
  </w:style>
  <w:style w:type="paragraph" w:styleId="ListParagraph">
    <w:name w:val="List Paragraph"/>
    <w:basedOn w:val="Normal"/>
    <w:uiPriority w:val="34"/>
    <w:qFormat/>
    <w:locked/>
    <w:rsid w:val="006C7F31"/>
    <w:pPr>
      <w:ind w:left="720"/>
      <w:contextualSpacing/>
    </w:pPr>
  </w:style>
  <w:style w:type="paragraph" w:customStyle="1" w:styleId="ESS-SingleLinespacing">
    <w:name w:val="ESS-Single Line spacing"/>
    <w:uiPriority w:val="34"/>
    <w:rsid w:val="005E30BC"/>
    <w:rPr>
      <w:rFonts w:ascii="Calibri" w:hAnsi="Calibri"/>
      <w:sz w:val="24"/>
      <w:lang w:val="en-GB"/>
    </w:rPr>
  </w:style>
  <w:style w:type="table" w:styleId="TableGrid">
    <w:name w:val="Table Grid"/>
    <w:basedOn w:val="TableNormal"/>
    <w:uiPriority w:val="59"/>
    <w:locked/>
    <w:rsid w:val="00E83B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S-TableHeader">
    <w:name w:val="ESS-Table Header"/>
    <w:next w:val="ESS-TableText"/>
    <w:uiPriority w:val="34"/>
    <w:rsid w:val="000628C7"/>
    <w:pPr>
      <w:keepNext/>
      <w:spacing w:before="60" w:after="60" w:line="180" w:lineRule="atLeast"/>
    </w:pPr>
    <w:rPr>
      <w:rFonts w:ascii="Segoe UI Historic" w:hAnsi="Segoe UI Historic"/>
      <w:b/>
      <w:sz w:val="18"/>
      <w:lang w:val="en-GB"/>
    </w:rPr>
  </w:style>
  <w:style w:type="paragraph" w:customStyle="1" w:styleId="ESS-TableText">
    <w:name w:val="ESS-Table Text"/>
    <w:uiPriority w:val="34"/>
    <w:qFormat/>
    <w:rsid w:val="00553283"/>
    <w:pPr>
      <w:spacing w:before="60" w:after="60" w:line="180" w:lineRule="atLeast"/>
    </w:pPr>
    <w:rPr>
      <w:rFonts w:ascii="Segoe UI Historic" w:hAnsi="Segoe UI Historic"/>
      <w:sz w:val="18"/>
      <w:lang w:val="en-GB"/>
    </w:rPr>
  </w:style>
  <w:style w:type="paragraph" w:customStyle="1" w:styleId="TableFigureTitle">
    <w:name w:val="Table/Figure Title"/>
    <w:next w:val="Normal"/>
    <w:uiPriority w:val="34"/>
    <w:qFormat/>
    <w:rsid w:val="009D5E88"/>
    <w:pPr>
      <w:keepNext/>
      <w:tabs>
        <w:tab w:val="left" w:pos="1412"/>
      </w:tabs>
      <w:spacing w:before="60" w:after="180" w:line="180" w:lineRule="atLeast"/>
      <w:ind w:left="1412" w:hanging="1412"/>
      <w:jc w:val="center"/>
    </w:pPr>
    <w:rPr>
      <w:rFonts w:ascii="Segoe UI Historic" w:hAnsi="Segoe UI Historic"/>
      <w:b/>
      <w:i/>
      <w:sz w:val="18"/>
      <w:lang w:val="en-GB"/>
    </w:rPr>
  </w:style>
  <w:style w:type="paragraph" w:customStyle="1" w:styleId="Headingunnumbered">
    <w:name w:val="Heading unnumbered"/>
    <w:next w:val="Normal"/>
    <w:uiPriority w:val="34"/>
    <w:qFormat/>
    <w:rsid w:val="007123E9"/>
    <w:pPr>
      <w:keepNext/>
      <w:spacing w:before="240" w:after="120"/>
    </w:pPr>
    <w:rPr>
      <w:rFonts w:ascii="Segoe UI Historic" w:hAnsi="Segoe UI Historic"/>
      <w:b/>
      <w:caps/>
      <w:sz w:val="26"/>
      <w:lang w:val="en-GB"/>
    </w:rPr>
  </w:style>
  <w:style w:type="paragraph" w:styleId="TableofFigures">
    <w:name w:val="table of figures"/>
    <w:next w:val="Normal"/>
    <w:uiPriority w:val="99"/>
    <w:rsid w:val="00CD7B48"/>
    <w:pPr>
      <w:tabs>
        <w:tab w:val="left" w:leader="dot" w:pos="992"/>
        <w:tab w:val="right" w:leader="dot" w:pos="8834"/>
      </w:tabs>
      <w:spacing w:before="120" w:after="120" w:line="220" w:lineRule="atLeast"/>
    </w:pPr>
    <w:rPr>
      <w:rFonts w:ascii="Segoe UI Historic" w:hAnsi="Segoe UI Historic"/>
      <w:lang w:val="en-GB"/>
    </w:rPr>
  </w:style>
  <w:style w:type="paragraph" w:styleId="TOC1">
    <w:name w:val="toc 1"/>
    <w:aliases w:val="TOC"/>
    <w:next w:val="Normal"/>
    <w:autoRedefine/>
    <w:uiPriority w:val="39"/>
    <w:rsid w:val="00531785"/>
    <w:pPr>
      <w:tabs>
        <w:tab w:val="right" w:leader="dot" w:pos="9639"/>
      </w:tabs>
      <w:spacing w:before="60" w:after="60"/>
      <w:ind w:left="680" w:hanging="680"/>
    </w:pPr>
    <w:rPr>
      <w:rFonts w:ascii="Segoe UI Historic" w:hAnsi="Segoe UI Historic" w:cs="Times New Roman (Body CS)"/>
      <w:caps/>
      <w:noProof/>
      <w:lang w:val="en-GB"/>
    </w:rPr>
  </w:style>
  <w:style w:type="paragraph" w:styleId="TOC2">
    <w:name w:val="toc 2"/>
    <w:basedOn w:val="TOC1"/>
    <w:uiPriority w:val="39"/>
    <w:rsid w:val="00553283"/>
    <w:rPr>
      <w:caps w:val="0"/>
    </w:rPr>
  </w:style>
  <w:style w:type="paragraph" w:styleId="TOC3">
    <w:name w:val="toc 3"/>
    <w:basedOn w:val="TOC1"/>
    <w:uiPriority w:val="39"/>
    <w:rsid w:val="00553283"/>
    <w:rPr>
      <w:caps w:val="0"/>
    </w:rPr>
  </w:style>
  <w:style w:type="paragraph" w:styleId="TOC4">
    <w:name w:val="toc 4"/>
    <w:basedOn w:val="TOC1"/>
    <w:uiPriority w:val="39"/>
    <w:rsid w:val="00553283"/>
    <w:rPr>
      <w:caps w:val="0"/>
    </w:rPr>
  </w:style>
  <w:style w:type="paragraph" w:styleId="TOC5">
    <w:name w:val="toc 5"/>
    <w:basedOn w:val="TOC1"/>
    <w:uiPriority w:val="39"/>
    <w:rsid w:val="00553283"/>
    <w:pPr>
      <w:framePr w:wrap="around" w:vAnchor="text" w:hAnchor="text" w:y="1"/>
      <w:ind w:left="510" w:hanging="510"/>
    </w:pPr>
  </w:style>
  <w:style w:type="paragraph" w:styleId="TOC6">
    <w:name w:val="toc 6"/>
    <w:basedOn w:val="TOC4"/>
    <w:uiPriority w:val="39"/>
    <w:rsid w:val="00553283"/>
    <w:pPr>
      <w:ind w:left="510" w:hanging="510"/>
    </w:pPr>
  </w:style>
  <w:style w:type="paragraph" w:styleId="TOC7">
    <w:name w:val="toc 7"/>
    <w:basedOn w:val="TOC3"/>
    <w:uiPriority w:val="39"/>
    <w:rsid w:val="00553283"/>
    <w:pPr>
      <w:ind w:left="340" w:hanging="340"/>
    </w:pPr>
    <w:rPr>
      <w:caps/>
    </w:rPr>
  </w:style>
  <w:style w:type="paragraph" w:styleId="TOC8">
    <w:name w:val="toc 8"/>
    <w:basedOn w:val="TOC3"/>
    <w:uiPriority w:val="39"/>
    <w:rsid w:val="00553283"/>
    <w:pPr>
      <w:ind w:left="170" w:hanging="170"/>
    </w:pPr>
    <w:rPr>
      <w:caps/>
    </w:rPr>
  </w:style>
  <w:style w:type="paragraph" w:styleId="BalloonText">
    <w:name w:val="Balloon Text"/>
    <w:basedOn w:val="Normal"/>
    <w:link w:val="BalloonTextChar"/>
    <w:uiPriority w:val="99"/>
    <w:semiHidden/>
    <w:unhideWhenUsed/>
    <w:locked/>
    <w:rsid w:val="00B43D6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D6F"/>
    <w:rPr>
      <w:rFonts w:ascii="Tahoma" w:hAnsi="Tahoma" w:cs="Tahoma"/>
      <w:sz w:val="16"/>
      <w:szCs w:val="16"/>
      <w:lang w:val="en-GB"/>
    </w:rPr>
  </w:style>
  <w:style w:type="table" w:styleId="MediumList1">
    <w:name w:val="Medium List 1"/>
    <w:basedOn w:val="TableNormal"/>
    <w:uiPriority w:val="65"/>
    <w:locked/>
    <w:rsid w:val="00A75EB8"/>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A75EB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4">
    <w:name w:val="Medium List 1 Accent 4"/>
    <w:basedOn w:val="TableNormal"/>
    <w:uiPriority w:val="65"/>
    <w:locked/>
    <w:rsid w:val="00A75EB8"/>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character" w:styleId="Hyperlink">
    <w:name w:val="Hyperlink"/>
    <w:basedOn w:val="DefaultParagraphFont"/>
    <w:uiPriority w:val="99"/>
    <w:unhideWhenUsed/>
    <w:locked/>
    <w:rsid w:val="0045462D"/>
    <w:rPr>
      <w:rFonts w:ascii="Segoe UI Historic" w:hAnsi="Segoe UI Historic"/>
      <w:color w:val="0000FF" w:themeColor="hyperlink"/>
      <w:sz w:val="22"/>
      <w:u w:val="single"/>
    </w:rPr>
  </w:style>
  <w:style w:type="paragraph" w:styleId="TOC9">
    <w:name w:val="toc 9"/>
    <w:basedOn w:val="Normal"/>
    <w:next w:val="Normal"/>
    <w:autoRedefine/>
    <w:uiPriority w:val="39"/>
    <w:semiHidden/>
    <w:locked/>
    <w:rsid w:val="00553283"/>
    <w:pPr>
      <w:adjustRightInd w:val="0"/>
      <w:spacing w:before="60" w:after="60"/>
    </w:pPr>
  </w:style>
  <w:style w:type="character" w:styleId="PageNumber">
    <w:name w:val="page number"/>
    <w:basedOn w:val="DefaultParagraphFont"/>
    <w:uiPriority w:val="99"/>
    <w:unhideWhenUsed/>
    <w:rsid w:val="00CD7B48"/>
    <w:rPr>
      <w:rFonts w:ascii="Segoe UI Historic" w:hAnsi="Segoe UI Historic"/>
      <w:sz w:val="18"/>
    </w:rPr>
  </w:style>
  <w:style w:type="character" w:customStyle="1" w:styleId="Heading5Char">
    <w:name w:val="Heading 5 Char"/>
    <w:basedOn w:val="DefaultParagraphFont"/>
    <w:link w:val="Heading5"/>
    <w:uiPriority w:val="9"/>
    <w:semiHidden/>
    <w:rsid w:val="008A3FA3"/>
    <w:rPr>
      <w:rFonts w:ascii="Segoe UI Historic" w:eastAsiaTheme="majorEastAsia" w:hAnsi="Segoe UI Historic" w:cs="Times New Roman (Headings CS)"/>
      <w:color w:val="000000" w:themeColor="text1"/>
      <w:sz w:val="20"/>
      <w:lang w:val="en-GB"/>
    </w:rPr>
  </w:style>
  <w:style w:type="character" w:customStyle="1" w:styleId="Heading6Char">
    <w:name w:val="Heading 6 Char"/>
    <w:basedOn w:val="DefaultParagraphFont"/>
    <w:link w:val="Heading6"/>
    <w:uiPriority w:val="9"/>
    <w:semiHidden/>
    <w:rsid w:val="008A3FA3"/>
    <w:rPr>
      <w:rFonts w:ascii="Segoe UI Historic" w:eastAsiaTheme="majorEastAsia" w:hAnsi="Segoe UI Historic" w:cstheme="majorBidi"/>
      <w:i/>
      <w:color w:val="808080" w:themeColor="background1" w:themeShade="80"/>
      <w:sz w:val="20"/>
      <w:lang w:val="en-GB"/>
    </w:rPr>
  </w:style>
  <w:style w:type="character" w:customStyle="1" w:styleId="Heading7Char">
    <w:name w:val="Heading 7 Char"/>
    <w:basedOn w:val="DefaultParagraphFont"/>
    <w:link w:val="Heading7"/>
    <w:uiPriority w:val="9"/>
    <w:semiHidden/>
    <w:rsid w:val="00CD7B48"/>
    <w:rPr>
      <w:rFonts w:asciiTheme="majorHAnsi" w:eastAsiaTheme="majorEastAsia" w:hAnsiTheme="majorHAnsi" w:cstheme="majorBidi"/>
      <w:i/>
      <w:iCs/>
      <w:color w:val="243F60" w:themeColor="accent1" w:themeShade="7F"/>
      <w:sz w:val="22"/>
      <w:lang w:val="en-GB"/>
    </w:rPr>
  </w:style>
  <w:style w:type="character" w:customStyle="1" w:styleId="Heading8Char">
    <w:name w:val="Heading 8 Char"/>
    <w:basedOn w:val="DefaultParagraphFont"/>
    <w:link w:val="Heading8"/>
    <w:uiPriority w:val="9"/>
    <w:semiHidden/>
    <w:rsid w:val="00CD7B4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CD7B48"/>
    <w:rPr>
      <w:rFonts w:asciiTheme="majorHAnsi" w:eastAsiaTheme="majorEastAsia" w:hAnsiTheme="majorHAnsi" w:cstheme="majorBidi"/>
      <w:i/>
      <w:iCs/>
      <w:color w:val="272727" w:themeColor="text1" w:themeTint="D8"/>
      <w:sz w:val="21"/>
      <w:szCs w:val="21"/>
      <w:lang w:val="en-GB"/>
    </w:rPr>
  </w:style>
  <w:style w:type="paragraph" w:styleId="Title">
    <w:name w:val="Title"/>
    <w:basedOn w:val="Normal"/>
    <w:next w:val="Normal"/>
    <w:link w:val="TitleChar"/>
    <w:uiPriority w:val="10"/>
    <w:semiHidden/>
    <w:locked/>
    <w:rsid w:val="00CD7B48"/>
    <w:pPr>
      <w:spacing w:before="240"/>
      <w:contextualSpacing/>
    </w:pPr>
    <w:rPr>
      <w:rFonts w:eastAsiaTheme="majorEastAsia" w:cstheme="majorBidi"/>
      <w:spacing w:val="-10"/>
      <w:kern w:val="28"/>
      <w:sz w:val="26"/>
      <w:szCs w:val="56"/>
    </w:rPr>
  </w:style>
  <w:style w:type="character" w:customStyle="1" w:styleId="TitleChar">
    <w:name w:val="Title Char"/>
    <w:basedOn w:val="DefaultParagraphFont"/>
    <w:link w:val="Title"/>
    <w:uiPriority w:val="10"/>
    <w:semiHidden/>
    <w:rsid w:val="00CD7B48"/>
    <w:rPr>
      <w:rFonts w:ascii="Segoe UI Historic" w:eastAsiaTheme="majorEastAsia" w:hAnsi="Segoe UI Historic" w:cstheme="majorBidi"/>
      <w:spacing w:val="-10"/>
      <w:kern w:val="28"/>
      <w:sz w:val="26"/>
      <w:szCs w:val="56"/>
      <w:lang w:val="en-GB"/>
    </w:rPr>
  </w:style>
  <w:style w:type="paragraph" w:styleId="Subtitle">
    <w:name w:val="Subtitle"/>
    <w:basedOn w:val="Normal"/>
    <w:next w:val="Normal"/>
    <w:link w:val="SubtitleChar"/>
    <w:uiPriority w:val="11"/>
    <w:locked/>
    <w:rsid w:val="00CD7B48"/>
    <w:pPr>
      <w:numPr>
        <w:ilvl w:val="1"/>
      </w:numPr>
      <w:spacing w:before="120"/>
    </w:pPr>
    <w:rPr>
      <w:color w:val="7F7F7F" w:themeColor="text1" w:themeTint="80"/>
      <w:spacing w:val="15"/>
    </w:rPr>
  </w:style>
  <w:style w:type="character" w:customStyle="1" w:styleId="SubtitleChar">
    <w:name w:val="Subtitle Char"/>
    <w:basedOn w:val="DefaultParagraphFont"/>
    <w:link w:val="Subtitle"/>
    <w:uiPriority w:val="11"/>
    <w:rsid w:val="00CD7B48"/>
    <w:rPr>
      <w:rFonts w:ascii="Segoe UI Historic" w:eastAsiaTheme="minorEastAsia" w:hAnsi="Segoe UI Historic"/>
      <w:color w:val="7F7F7F" w:themeColor="text1" w:themeTint="80"/>
      <w:spacing w:val="15"/>
      <w:sz w:val="22"/>
      <w:lang w:val="en-GB"/>
    </w:rPr>
  </w:style>
  <w:style w:type="character" w:styleId="SubtleEmphasis">
    <w:name w:val="Subtle Emphasis"/>
    <w:basedOn w:val="DefaultParagraphFont"/>
    <w:uiPriority w:val="19"/>
    <w:locked/>
    <w:rsid w:val="00CD7B48"/>
    <w:rPr>
      <w:rFonts w:ascii="Segoe UI Historic" w:hAnsi="Segoe UI Historic"/>
      <w:i/>
      <w:iCs/>
      <w:color w:val="404040" w:themeColor="text1" w:themeTint="BF"/>
      <w:sz w:val="22"/>
    </w:rPr>
  </w:style>
  <w:style w:type="character" w:styleId="Emphasis">
    <w:name w:val="Emphasis"/>
    <w:basedOn w:val="DefaultParagraphFont"/>
    <w:uiPriority w:val="20"/>
    <w:locked/>
    <w:rsid w:val="00CD7B48"/>
    <w:rPr>
      <w:rFonts w:ascii="Segoe UI Historic" w:hAnsi="Segoe UI Historic"/>
      <w:i/>
      <w:iCs/>
      <w:sz w:val="22"/>
    </w:rPr>
  </w:style>
  <w:style w:type="paragraph" w:styleId="NoSpacing">
    <w:name w:val="No Spacing"/>
    <w:uiPriority w:val="2"/>
    <w:locked/>
    <w:rsid w:val="00CD7B48"/>
    <w:rPr>
      <w:rFonts w:ascii="Segoe UI Historic" w:eastAsiaTheme="minorEastAsia" w:hAnsi="Segoe UI Historic"/>
      <w:lang w:val="en-GB"/>
    </w:rPr>
  </w:style>
  <w:style w:type="paragraph" w:styleId="TOAHeading">
    <w:name w:val="toa heading"/>
    <w:basedOn w:val="Normal"/>
    <w:next w:val="Normal"/>
    <w:uiPriority w:val="99"/>
    <w:semiHidden/>
    <w:unhideWhenUsed/>
    <w:locked/>
    <w:rsid w:val="00CD7B48"/>
    <w:pPr>
      <w:spacing w:before="120"/>
    </w:pPr>
    <w:rPr>
      <w:rFonts w:eastAsiaTheme="majorEastAsia" w:cstheme="majorBidi"/>
      <w:b/>
      <w:bCs/>
      <w:sz w:val="24"/>
      <w:szCs w:val="24"/>
    </w:rPr>
  </w:style>
  <w:style w:type="character" w:customStyle="1" w:styleId="UnresolvedMention1">
    <w:name w:val="Unresolved Mention1"/>
    <w:basedOn w:val="DefaultParagraphFont"/>
    <w:uiPriority w:val="99"/>
    <w:locked/>
    <w:rsid w:val="00CD7B48"/>
    <w:rPr>
      <w:rFonts w:ascii="Segoe UI Historic" w:hAnsi="Segoe UI Historic"/>
      <w:color w:val="605E5C"/>
      <w:sz w:val="22"/>
      <w:shd w:val="clear" w:color="auto" w:fill="E1DFDD"/>
    </w:rPr>
  </w:style>
  <w:style w:type="paragraph" w:styleId="TableofAuthorities">
    <w:name w:val="table of authorities"/>
    <w:basedOn w:val="Normal"/>
    <w:next w:val="Normal"/>
    <w:uiPriority w:val="99"/>
    <w:semiHidden/>
    <w:unhideWhenUsed/>
    <w:locked/>
    <w:rsid w:val="00CD7B48"/>
    <w:pPr>
      <w:spacing w:before="120"/>
    </w:pPr>
  </w:style>
  <w:style w:type="character" w:customStyle="1" w:styleId="SmartHyperlink1">
    <w:name w:val="Smart Hyperlink1"/>
    <w:basedOn w:val="DefaultParagraphFont"/>
    <w:uiPriority w:val="99"/>
    <w:semiHidden/>
    <w:unhideWhenUsed/>
    <w:rsid w:val="00CD7B48"/>
    <w:rPr>
      <w:rFonts w:ascii="Segoe UI Historic" w:hAnsi="Segoe UI Historic"/>
      <w:sz w:val="22"/>
      <w:u w:val="dotted"/>
    </w:rPr>
  </w:style>
  <w:style w:type="paragraph" w:styleId="Signature">
    <w:name w:val="Signature"/>
    <w:basedOn w:val="Normal"/>
    <w:link w:val="SignatureChar"/>
    <w:uiPriority w:val="99"/>
    <w:semiHidden/>
    <w:unhideWhenUsed/>
    <w:locked/>
    <w:rsid w:val="00CD7B48"/>
    <w:pPr>
      <w:spacing w:after="0"/>
      <w:ind w:left="2835"/>
    </w:pPr>
  </w:style>
  <w:style w:type="character" w:customStyle="1" w:styleId="SignatureChar">
    <w:name w:val="Signature Char"/>
    <w:basedOn w:val="DefaultParagraphFont"/>
    <w:link w:val="Signature"/>
    <w:uiPriority w:val="99"/>
    <w:semiHidden/>
    <w:rsid w:val="00CD7B48"/>
    <w:rPr>
      <w:rFonts w:ascii="Segoe UI Historic" w:eastAsiaTheme="minorEastAsia" w:hAnsi="Segoe UI Historic"/>
      <w:sz w:val="22"/>
      <w:lang w:val="en-GB"/>
    </w:rPr>
  </w:style>
  <w:style w:type="paragraph" w:styleId="Salutation">
    <w:name w:val="Salutation"/>
    <w:basedOn w:val="Normal"/>
    <w:next w:val="Normal"/>
    <w:link w:val="SalutationChar"/>
    <w:uiPriority w:val="99"/>
    <w:semiHidden/>
    <w:unhideWhenUsed/>
    <w:locked/>
    <w:rsid w:val="00CD7B48"/>
  </w:style>
  <w:style w:type="character" w:customStyle="1" w:styleId="SalutationChar">
    <w:name w:val="Salutation Char"/>
    <w:basedOn w:val="DefaultParagraphFont"/>
    <w:link w:val="Salutation"/>
    <w:uiPriority w:val="99"/>
    <w:semiHidden/>
    <w:rsid w:val="00CD7B48"/>
    <w:rPr>
      <w:rFonts w:ascii="Segoe UI Historic" w:eastAsiaTheme="minorEastAsia" w:hAnsi="Segoe UI Historic"/>
      <w:sz w:val="22"/>
      <w:lang w:val="en-GB"/>
    </w:rPr>
  </w:style>
  <w:style w:type="paragraph" w:styleId="PlainText">
    <w:name w:val="Plain Text"/>
    <w:basedOn w:val="Normal"/>
    <w:link w:val="PlainTextChar"/>
    <w:uiPriority w:val="99"/>
    <w:semiHidden/>
    <w:unhideWhenUsed/>
    <w:locked/>
    <w:rsid w:val="00CD7B48"/>
    <w:pPr>
      <w:spacing w:after="0"/>
    </w:pPr>
    <w:rPr>
      <w:rFonts w:cs="Consolas"/>
      <w:szCs w:val="21"/>
    </w:rPr>
  </w:style>
  <w:style w:type="character" w:customStyle="1" w:styleId="PlainTextChar">
    <w:name w:val="Plain Text Char"/>
    <w:basedOn w:val="DefaultParagraphFont"/>
    <w:link w:val="PlainText"/>
    <w:uiPriority w:val="99"/>
    <w:semiHidden/>
    <w:rsid w:val="00CD7B48"/>
    <w:rPr>
      <w:rFonts w:ascii="Segoe UI Historic" w:eastAsiaTheme="minorEastAsia" w:hAnsi="Segoe UI Historic" w:cs="Consolas"/>
      <w:sz w:val="22"/>
      <w:szCs w:val="21"/>
      <w:lang w:val="en-GB"/>
    </w:rPr>
  </w:style>
  <w:style w:type="character" w:styleId="PlaceholderText">
    <w:name w:val="Placeholder Text"/>
    <w:basedOn w:val="DefaultParagraphFont"/>
    <w:uiPriority w:val="99"/>
    <w:semiHidden/>
    <w:locked/>
    <w:rsid w:val="00CD7B48"/>
    <w:rPr>
      <w:rFonts w:ascii="Segoe UI Historic" w:hAnsi="Segoe UI Historic"/>
      <w:color w:val="A6A6A6" w:themeColor="background1" w:themeShade="A6"/>
      <w:sz w:val="22"/>
    </w:rPr>
  </w:style>
  <w:style w:type="paragraph" w:styleId="NoteHeading">
    <w:name w:val="Note Heading"/>
    <w:basedOn w:val="Normal"/>
    <w:next w:val="Normal"/>
    <w:link w:val="NoteHeadingChar"/>
    <w:uiPriority w:val="99"/>
    <w:semiHidden/>
    <w:unhideWhenUsed/>
    <w:locked/>
    <w:rsid w:val="00CD7B48"/>
    <w:pPr>
      <w:spacing w:after="0"/>
    </w:pPr>
  </w:style>
  <w:style w:type="character" w:customStyle="1" w:styleId="NoteHeadingChar">
    <w:name w:val="Note Heading Char"/>
    <w:basedOn w:val="DefaultParagraphFont"/>
    <w:link w:val="NoteHeading"/>
    <w:uiPriority w:val="99"/>
    <w:semiHidden/>
    <w:rsid w:val="00CD7B48"/>
    <w:rPr>
      <w:rFonts w:ascii="Segoe UI Historic" w:eastAsiaTheme="minorEastAsia" w:hAnsi="Segoe UI Historic"/>
      <w:sz w:val="22"/>
      <w:lang w:val="en-GB"/>
    </w:rPr>
  </w:style>
  <w:style w:type="paragraph" w:styleId="NormalIndent">
    <w:name w:val="Normal Indent"/>
    <w:basedOn w:val="Normal"/>
    <w:uiPriority w:val="99"/>
    <w:semiHidden/>
    <w:unhideWhenUsed/>
    <w:locked/>
    <w:rsid w:val="00CD7B48"/>
    <w:pPr>
      <w:snapToGrid w:val="0"/>
      <w:ind w:left="720"/>
    </w:pPr>
  </w:style>
  <w:style w:type="paragraph" w:styleId="NormalWeb">
    <w:name w:val="Normal (Web)"/>
    <w:basedOn w:val="Normal"/>
    <w:uiPriority w:val="99"/>
    <w:semiHidden/>
    <w:unhideWhenUsed/>
    <w:locked/>
    <w:rsid w:val="00CD7B48"/>
    <w:pPr>
      <w:spacing w:after="60"/>
    </w:pPr>
    <w:rPr>
      <w:sz w:val="18"/>
      <w:szCs w:val="24"/>
    </w:rPr>
  </w:style>
  <w:style w:type="character" w:customStyle="1" w:styleId="Mention1">
    <w:name w:val="Mention1"/>
    <w:basedOn w:val="DefaultParagraphFont"/>
    <w:uiPriority w:val="99"/>
    <w:semiHidden/>
    <w:unhideWhenUsed/>
    <w:rsid w:val="00CD7B48"/>
    <w:rPr>
      <w:rFonts w:ascii="Segoe UI Historic" w:hAnsi="Segoe UI Historic"/>
      <w:color w:val="A6A6A6" w:themeColor="background1" w:themeShade="A6"/>
      <w:sz w:val="22"/>
      <w:shd w:val="clear" w:color="auto" w:fill="E1DFDD"/>
    </w:rPr>
  </w:style>
  <w:style w:type="paragraph" w:styleId="MacroText">
    <w:name w:val="macro"/>
    <w:link w:val="MacroTextChar"/>
    <w:uiPriority w:val="99"/>
    <w:semiHidden/>
    <w:unhideWhenUsed/>
    <w:locked/>
    <w:rsid w:val="00CD7B48"/>
    <w:pPr>
      <w:tabs>
        <w:tab w:val="left" w:pos="480"/>
        <w:tab w:val="left" w:pos="960"/>
        <w:tab w:val="left" w:pos="1440"/>
        <w:tab w:val="left" w:pos="1920"/>
        <w:tab w:val="left" w:pos="2400"/>
        <w:tab w:val="left" w:pos="2880"/>
        <w:tab w:val="left" w:pos="3360"/>
        <w:tab w:val="left" w:pos="3840"/>
        <w:tab w:val="left" w:pos="4320"/>
      </w:tabs>
    </w:pPr>
    <w:rPr>
      <w:rFonts w:ascii="Segoe UI Historic" w:eastAsiaTheme="minorEastAsia" w:hAnsi="Segoe UI Historic" w:cs="Consolas"/>
      <w:sz w:val="20"/>
      <w:szCs w:val="20"/>
      <w:lang w:val="en-GB"/>
    </w:rPr>
  </w:style>
  <w:style w:type="character" w:customStyle="1" w:styleId="MacroTextChar">
    <w:name w:val="Macro Text Char"/>
    <w:basedOn w:val="DefaultParagraphFont"/>
    <w:link w:val="MacroText"/>
    <w:uiPriority w:val="99"/>
    <w:semiHidden/>
    <w:rsid w:val="00CD7B48"/>
    <w:rPr>
      <w:rFonts w:ascii="Segoe UI Historic" w:eastAsiaTheme="minorEastAsia" w:hAnsi="Segoe UI Historic" w:cs="Consolas"/>
      <w:sz w:val="20"/>
      <w:szCs w:val="20"/>
      <w:lang w:val="en-GB"/>
    </w:rPr>
  </w:style>
  <w:style w:type="paragraph" w:styleId="ListNumber5">
    <w:name w:val="List Number 5"/>
    <w:basedOn w:val="Normal"/>
    <w:uiPriority w:val="99"/>
    <w:semiHidden/>
    <w:unhideWhenUsed/>
    <w:locked/>
    <w:rsid w:val="0044474C"/>
    <w:pPr>
      <w:numPr>
        <w:numId w:val="3"/>
      </w:numPr>
      <w:spacing w:before="60" w:after="60"/>
      <w:ind w:left="850" w:hanging="170"/>
    </w:pPr>
  </w:style>
  <w:style w:type="paragraph" w:styleId="ListNumber4">
    <w:name w:val="List Number 4"/>
    <w:basedOn w:val="Normal"/>
    <w:uiPriority w:val="99"/>
    <w:semiHidden/>
    <w:unhideWhenUsed/>
    <w:locked/>
    <w:rsid w:val="0044474C"/>
    <w:pPr>
      <w:numPr>
        <w:numId w:val="4"/>
      </w:numPr>
      <w:spacing w:before="60" w:after="60"/>
      <w:ind w:left="680" w:hanging="170"/>
      <w:contextualSpacing/>
    </w:pPr>
  </w:style>
  <w:style w:type="paragraph" w:styleId="ListNumber3">
    <w:name w:val="List Number 3"/>
    <w:basedOn w:val="Normal"/>
    <w:uiPriority w:val="99"/>
    <w:semiHidden/>
    <w:unhideWhenUsed/>
    <w:locked/>
    <w:rsid w:val="0044474C"/>
    <w:pPr>
      <w:numPr>
        <w:numId w:val="5"/>
      </w:numPr>
      <w:spacing w:before="60" w:after="60"/>
      <w:ind w:left="510" w:hanging="170"/>
    </w:pPr>
  </w:style>
  <w:style w:type="paragraph" w:styleId="ListNumber2">
    <w:name w:val="List Number 2"/>
    <w:basedOn w:val="Normal"/>
    <w:uiPriority w:val="99"/>
    <w:semiHidden/>
    <w:unhideWhenUsed/>
    <w:locked/>
    <w:rsid w:val="0044474C"/>
    <w:pPr>
      <w:numPr>
        <w:numId w:val="6"/>
      </w:numPr>
      <w:spacing w:before="60" w:after="60"/>
      <w:ind w:left="340" w:hanging="170"/>
    </w:pPr>
  </w:style>
  <w:style w:type="paragraph" w:styleId="ListNumber">
    <w:name w:val="List Number"/>
    <w:basedOn w:val="Normal"/>
    <w:uiPriority w:val="99"/>
    <w:semiHidden/>
    <w:unhideWhenUsed/>
    <w:locked/>
    <w:rsid w:val="0044474C"/>
    <w:pPr>
      <w:numPr>
        <w:numId w:val="7"/>
      </w:numPr>
      <w:spacing w:before="60" w:after="60"/>
      <w:ind w:left="170" w:hanging="170"/>
    </w:pPr>
  </w:style>
  <w:style w:type="paragraph" w:styleId="ListContinue">
    <w:name w:val="List Continue"/>
    <w:basedOn w:val="Normal"/>
    <w:uiPriority w:val="99"/>
    <w:semiHidden/>
    <w:unhideWhenUsed/>
    <w:locked/>
    <w:rsid w:val="0044474C"/>
    <w:pPr>
      <w:spacing w:before="40" w:after="40"/>
    </w:pPr>
  </w:style>
  <w:style w:type="paragraph" w:styleId="ListContinue2">
    <w:name w:val="List Continue 2"/>
    <w:basedOn w:val="Normal"/>
    <w:uiPriority w:val="99"/>
    <w:semiHidden/>
    <w:unhideWhenUsed/>
    <w:locked/>
    <w:rsid w:val="0044474C"/>
    <w:pPr>
      <w:spacing w:before="60" w:after="60"/>
      <w:ind w:left="170"/>
    </w:pPr>
  </w:style>
  <w:style w:type="paragraph" w:styleId="ListContinue3">
    <w:name w:val="List Continue 3"/>
    <w:basedOn w:val="Normal"/>
    <w:uiPriority w:val="99"/>
    <w:semiHidden/>
    <w:unhideWhenUsed/>
    <w:locked/>
    <w:rsid w:val="0044474C"/>
    <w:pPr>
      <w:spacing w:before="60" w:after="60"/>
      <w:ind w:left="340"/>
    </w:pPr>
  </w:style>
  <w:style w:type="paragraph" w:styleId="ListContinue4">
    <w:name w:val="List Continue 4"/>
    <w:basedOn w:val="Normal"/>
    <w:uiPriority w:val="99"/>
    <w:semiHidden/>
    <w:unhideWhenUsed/>
    <w:locked/>
    <w:rsid w:val="0044474C"/>
    <w:pPr>
      <w:spacing w:before="60" w:after="60"/>
      <w:ind w:left="510"/>
    </w:pPr>
  </w:style>
  <w:style w:type="paragraph" w:styleId="ListContinue5">
    <w:name w:val="List Continue 5"/>
    <w:basedOn w:val="Normal"/>
    <w:uiPriority w:val="99"/>
    <w:semiHidden/>
    <w:unhideWhenUsed/>
    <w:locked/>
    <w:rsid w:val="0044474C"/>
    <w:pPr>
      <w:spacing w:before="60" w:after="60"/>
      <w:ind w:left="680"/>
    </w:pPr>
  </w:style>
  <w:style w:type="paragraph" w:styleId="ListBullet">
    <w:name w:val="List Bullet"/>
    <w:basedOn w:val="Normal"/>
    <w:autoRedefine/>
    <w:uiPriority w:val="99"/>
    <w:semiHidden/>
    <w:unhideWhenUsed/>
    <w:qFormat/>
    <w:locked/>
    <w:rsid w:val="0044474C"/>
    <w:pPr>
      <w:numPr>
        <w:numId w:val="12"/>
      </w:numPr>
      <w:spacing w:before="60" w:after="60"/>
      <w:ind w:left="170" w:hanging="170"/>
    </w:pPr>
  </w:style>
  <w:style w:type="paragraph" w:styleId="ListBullet2">
    <w:name w:val="List Bullet 2"/>
    <w:basedOn w:val="Normal"/>
    <w:uiPriority w:val="99"/>
    <w:semiHidden/>
    <w:unhideWhenUsed/>
    <w:locked/>
    <w:rsid w:val="0044474C"/>
    <w:pPr>
      <w:numPr>
        <w:numId w:val="11"/>
      </w:numPr>
      <w:spacing w:before="60" w:after="60"/>
      <w:ind w:left="340" w:hanging="170"/>
    </w:pPr>
  </w:style>
  <w:style w:type="paragraph" w:styleId="ListBullet3">
    <w:name w:val="List Bullet 3"/>
    <w:basedOn w:val="Normal"/>
    <w:uiPriority w:val="99"/>
    <w:semiHidden/>
    <w:unhideWhenUsed/>
    <w:locked/>
    <w:rsid w:val="0044474C"/>
    <w:pPr>
      <w:numPr>
        <w:numId w:val="10"/>
      </w:numPr>
      <w:spacing w:before="60" w:after="60"/>
      <w:ind w:left="510" w:hanging="170"/>
    </w:pPr>
  </w:style>
  <w:style w:type="paragraph" w:styleId="ListBullet4">
    <w:name w:val="List Bullet 4"/>
    <w:basedOn w:val="Normal"/>
    <w:uiPriority w:val="99"/>
    <w:semiHidden/>
    <w:unhideWhenUsed/>
    <w:locked/>
    <w:rsid w:val="0044474C"/>
    <w:pPr>
      <w:numPr>
        <w:numId w:val="9"/>
      </w:numPr>
      <w:spacing w:before="60" w:after="60"/>
      <w:ind w:left="680" w:hanging="170"/>
    </w:pPr>
  </w:style>
  <w:style w:type="paragraph" w:styleId="ListBullet5">
    <w:name w:val="List Bullet 5"/>
    <w:basedOn w:val="Normal"/>
    <w:uiPriority w:val="99"/>
    <w:semiHidden/>
    <w:unhideWhenUsed/>
    <w:locked/>
    <w:rsid w:val="0044474C"/>
    <w:pPr>
      <w:numPr>
        <w:numId w:val="8"/>
      </w:numPr>
      <w:spacing w:before="60" w:after="60"/>
      <w:ind w:left="850" w:hanging="170"/>
    </w:pPr>
  </w:style>
  <w:style w:type="paragraph" w:styleId="Index1">
    <w:name w:val="index 1"/>
    <w:basedOn w:val="Normal"/>
    <w:next w:val="Normal"/>
    <w:autoRedefine/>
    <w:uiPriority w:val="99"/>
    <w:semiHidden/>
    <w:unhideWhenUsed/>
    <w:qFormat/>
    <w:locked/>
    <w:rsid w:val="0044474C"/>
    <w:pPr>
      <w:spacing w:before="60" w:after="60"/>
      <w:ind w:left="170" w:hanging="170"/>
    </w:pPr>
  </w:style>
  <w:style w:type="paragraph" w:styleId="Index2">
    <w:name w:val="index 2"/>
    <w:basedOn w:val="Normal"/>
    <w:next w:val="Normal"/>
    <w:autoRedefine/>
    <w:uiPriority w:val="99"/>
    <w:semiHidden/>
    <w:unhideWhenUsed/>
    <w:locked/>
    <w:rsid w:val="0044474C"/>
    <w:pPr>
      <w:spacing w:before="60" w:after="60"/>
      <w:ind w:left="283" w:hanging="170"/>
    </w:pPr>
  </w:style>
  <w:style w:type="paragraph" w:styleId="Index3">
    <w:name w:val="index 3"/>
    <w:basedOn w:val="Normal"/>
    <w:next w:val="Normal"/>
    <w:autoRedefine/>
    <w:uiPriority w:val="99"/>
    <w:semiHidden/>
    <w:unhideWhenUsed/>
    <w:locked/>
    <w:rsid w:val="0044474C"/>
    <w:pPr>
      <w:spacing w:before="60" w:after="60"/>
      <w:ind w:left="397" w:hanging="170"/>
    </w:pPr>
  </w:style>
  <w:style w:type="paragraph" w:styleId="Index4">
    <w:name w:val="index 4"/>
    <w:basedOn w:val="Normal"/>
    <w:next w:val="Normal"/>
    <w:autoRedefine/>
    <w:uiPriority w:val="99"/>
    <w:semiHidden/>
    <w:unhideWhenUsed/>
    <w:locked/>
    <w:rsid w:val="0044474C"/>
    <w:pPr>
      <w:spacing w:before="60" w:after="60"/>
      <w:ind w:left="510" w:hanging="170"/>
    </w:pPr>
  </w:style>
  <w:style w:type="paragraph" w:styleId="Index5">
    <w:name w:val="index 5"/>
    <w:basedOn w:val="Normal"/>
    <w:next w:val="Normal"/>
    <w:autoRedefine/>
    <w:uiPriority w:val="99"/>
    <w:semiHidden/>
    <w:unhideWhenUsed/>
    <w:locked/>
    <w:rsid w:val="0044474C"/>
    <w:pPr>
      <w:spacing w:before="60" w:after="60"/>
      <w:ind w:left="624" w:hanging="170"/>
    </w:pPr>
  </w:style>
  <w:style w:type="paragraph" w:styleId="Index6">
    <w:name w:val="index 6"/>
    <w:basedOn w:val="Normal"/>
    <w:next w:val="Normal"/>
    <w:autoRedefine/>
    <w:uiPriority w:val="99"/>
    <w:semiHidden/>
    <w:unhideWhenUsed/>
    <w:locked/>
    <w:rsid w:val="00992B68"/>
    <w:pPr>
      <w:spacing w:before="20" w:after="20"/>
      <w:ind w:left="737" w:hanging="170"/>
    </w:pPr>
    <w:rPr>
      <w:i/>
    </w:rPr>
  </w:style>
  <w:style w:type="paragraph" w:styleId="Index7">
    <w:name w:val="index 7"/>
    <w:basedOn w:val="Normal"/>
    <w:next w:val="Normal"/>
    <w:autoRedefine/>
    <w:uiPriority w:val="99"/>
    <w:semiHidden/>
    <w:unhideWhenUsed/>
    <w:locked/>
    <w:rsid w:val="00992B68"/>
    <w:pPr>
      <w:spacing w:before="20" w:after="20"/>
      <w:ind w:left="850" w:hanging="170"/>
    </w:pPr>
    <w:rPr>
      <w:sz w:val="18"/>
    </w:rPr>
  </w:style>
  <w:style w:type="paragraph" w:styleId="Index8">
    <w:name w:val="index 8"/>
    <w:basedOn w:val="Normal"/>
    <w:next w:val="Normal"/>
    <w:autoRedefine/>
    <w:uiPriority w:val="99"/>
    <w:semiHidden/>
    <w:unhideWhenUsed/>
    <w:locked/>
    <w:rsid w:val="00992B68"/>
    <w:pPr>
      <w:spacing w:before="20" w:after="20"/>
      <w:ind w:left="964" w:hanging="170"/>
    </w:pPr>
    <w:rPr>
      <w:i/>
      <w:sz w:val="18"/>
    </w:rPr>
  </w:style>
  <w:style w:type="paragraph" w:styleId="Index9">
    <w:name w:val="index 9"/>
    <w:basedOn w:val="Normal"/>
    <w:next w:val="Normal"/>
    <w:autoRedefine/>
    <w:uiPriority w:val="99"/>
    <w:semiHidden/>
    <w:unhideWhenUsed/>
    <w:locked/>
    <w:rsid w:val="00992B68"/>
    <w:pPr>
      <w:spacing w:before="20" w:after="20"/>
      <w:ind w:left="1077" w:hanging="170"/>
    </w:pPr>
    <w:rPr>
      <w:color w:val="A6A6A6" w:themeColor="background1" w:themeShade="A6"/>
      <w:sz w:val="18"/>
    </w:rPr>
  </w:style>
  <w:style w:type="paragraph" w:styleId="IndexHeading">
    <w:name w:val="index heading"/>
    <w:basedOn w:val="Normal"/>
    <w:next w:val="Index1"/>
    <w:uiPriority w:val="99"/>
    <w:semiHidden/>
    <w:unhideWhenUsed/>
    <w:locked/>
    <w:rsid w:val="00992B68"/>
    <w:pPr>
      <w:spacing w:before="120"/>
    </w:pPr>
    <w:rPr>
      <w:rFonts w:eastAsiaTheme="majorEastAsia" w:cstheme="majorBidi"/>
      <w:b/>
      <w:bCs/>
    </w:rPr>
  </w:style>
  <w:style w:type="character" w:styleId="LineNumber">
    <w:name w:val="line number"/>
    <w:basedOn w:val="DefaultParagraphFont"/>
    <w:uiPriority w:val="99"/>
    <w:semiHidden/>
    <w:unhideWhenUsed/>
    <w:locked/>
    <w:rsid w:val="00992B68"/>
    <w:rPr>
      <w:rFonts w:ascii="Segoe UI Historic" w:hAnsi="Segoe UI Historic"/>
      <w:sz w:val="22"/>
    </w:rPr>
  </w:style>
  <w:style w:type="paragraph" w:styleId="List">
    <w:name w:val="List"/>
    <w:basedOn w:val="Normal"/>
    <w:autoRedefine/>
    <w:uiPriority w:val="99"/>
    <w:semiHidden/>
    <w:unhideWhenUsed/>
    <w:qFormat/>
    <w:locked/>
    <w:rsid w:val="00992B68"/>
    <w:pPr>
      <w:spacing w:before="60" w:after="60"/>
      <w:ind w:left="170" w:hanging="170"/>
    </w:pPr>
  </w:style>
  <w:style w:type="paragraph" w:styleId="List2">
    <w:name w:val="List 2"/>
    <w:basedOn w:val="Normal"/>
    <w:uiPriority w:val="99"/>
    <w:semiHidden/>
    <w:unhideWhenUsed/>
    <w:locked/>
    <w:rsid w:val="00992B68"/>
    <w:pPr>
      <w:spacing w:before="60" w:after="60"/>
      <w:ind w:left="340" w:hanging="170"/>
    </w:pPr>
  </w:style>
  <w:style w:type="paragraph" w:styleId="List3">
    <w:name w:val="List 3"/>
    <w:basedOn w:val="Normal"/>
    <w:uiPriority w:val="99"/>
    <w:semiHidden/>
    <w:unhideWhenUsed/>
    <w:locked/>
    <w:rsid w:val="00992B68"/>
    <w:pPr>
      <w:spacing w:before="60" w:after="60"/>
      <w:ind w:left="510" w:hanging="170"/>
    </w:pPr>
  </w:style>
  <w:style w:type="paragraph" w:styleId="List4">
    <w:name w:val="List 4"/>
    <w:basedOn w:val="Normal"/>
    <w:uiPriority w:val="99"/>
    <w:unhideWhenUsed/>
    <w:locked/>
    <w:rsid w:val="00992B68"/>
    <w:pPr>
      <w:spacing w:before="60" w:after="60"/>
      <w:ind w:left="680" w:hanging="170"/>
    </w:pPr>
  </w:style>
  <w:style w:type="paragraph" w:styleId="List5">
    <w:name w:val="List 5"/>
    <w:basedOn w:val="Normal"/>
    <w:uiPriority w:val="99"/>
    <w:semiHidden/>
    <w:unhideWhenUsed/>
    <w:locked/>
    <w:rsid w:val="00992B68"/>
    <w:pPr>
      <w:spacing w:before="60" w:after="60"/>
      <w:ind w:left="850" w:hanging="170"/>
    </w:pPr>
  </w:style>
  <w:style w:type="paragraph" w:customStyle="1" w:styleId="Bulletnumber">
    <w:name w:val="Bullet number"/>
    <w:basedOn w:val="ListParagraph"/>
    <w:rsid w:val="00F5375B"/>
    <w:pPr>
      <w:numPr>
        <w:numId w:val="14"/>
      </w:numPr>
      <w:spacing w:before="60" w:after="60"/>
      <w:contextualSpacing w:val="0"/>
    </w:pPr>
  </w:style>
  <w:style w:type="paragraph" w:customStyle="1" w:styleId="ESSTOC">
    <w:name w:val="ESS TOC"/>
    <w:basedOn w:val="TOC1"/>
    <w:next w:val="Normal"/>
    <w:qFormat/>
    <w:rsid w:val="004A3103"/>
  </w:style>
  <w:style w:type="paragraph" w:customStyle="1" w:styleId="TOCHeading1">
    <w:name w:val="TOC Heading1"/>
    <w:basedOn w:val="TOC1"/>
    <w:rsid w:val="00C310CF"/>
    <w:pPr>
      <w:spacing w:before="240" w:after="120"/>
      <w:ind w:left="0" w:firstLine="0"/>
    </w:pPr>
    <w:rPr>
      <w:b/>
      <w:sz w:val="26"/>
    </w:rPr>
  </w:style>
  <w:style w:type="paragraph" w:customStyle="1" w:styleId="TableList">
    <w:name w:val="Table List"/>
    <w:basedOn w:val="TableofFigures"/>
    <w:rsid w:val="00020815"/>
    <w:pPr>
      <w:tabs>
        <w:tab w:val="clear" w:pos="8834"/>
        <w:tab w:val="right" w:leader="dot" w:pos="9639"/>
      </w:tabs>
    </w:pPr>
  </w:style>
  <w:style w:type="paragraph" w:customStyle="1" w:styleId="TableHeading">
    <w:name w:val="Table Heading"/>
    <w:basedOn w:val="Headingunnumbered"/>
    <w:rsid w:val="00020815"/>
  </w:style>
  <w:style w:type="paragraph" w:customStyle="1" w:styleId="TopBulletList1-dots">
    <w:name w:val="Top Bullet List 1 - dots"/>
    <w:basedOn w:val="Normal"/>
    <w:qFormat/>
    <w:rsid w:val="00E84932"/>
    <w:pPr>
      <w:numPr>
        <w:numId w:val="13"/>
      </w:numPr>
      <w:adjustRightInd w:val="0"/>
      <w:spacing w:line="300" w:lineRule="atLeast"/>
      <w:ind w:left="510" w:hanging="340"/>
      <w:contextualSpacing/>
    </w:pPr>
    <w:rPr>
      <w:rFonts w:cs="Times New Roman (Body CS)"/>
    </w:rPr>
  </w:style>
  <w:style w:type="paragraph" w:customStyle="1" w:styleId="TopBulletList2-numbers">
    <w:name w:val="Top Bullet List 2 - numbers"/>
    <w:basedOn w:val="Bulletnumber"/>
    <w:qFormat/>
    <w:rsid w:val="003D12B8"/>
    <w:pPr>
      <w:spacing w:before="0" w:after="120" w:line="300" w:lineRule="atLeast"/>
      <w:contextualSpacing/>
    </w:pPr>
  </w:style>
  <w:style w:type="paragraph" w:customStyle="1" w:styleId="TableText">
    <w:name w:val="Table Text"/>
    <w:next w:val="Normal"/>
    <w:rsid w:val="00197B0F"/>
    <w:rPr>
      <w:rFonts w:ascii="Segoe UI Historic" w:hAnsi="Segoe UI Historic"/>
      <w:sz w:val="18"/>
      <w:lang w:val="en-GB"/>
    </w:rPr>
  </w:style>
  <w:style w:type="paragraph" w:customStyle="1" w:styleId="Table-NumberSummary">
    <w:name w:val="Table - Number/Summary"/>
    <w:next w:val="Normal"/>
    <w:rsid w:val="00197B0F"/>
    <w:rPr>
      <w:rFonts w:ascii="Segoe UI Historic" w:hAnsi="Segoe UI Historic"/>
      <w:b/>
      <w:i/>
      <w:sz w:val="18"/>
      <w:lang w:val="en-GB"/>
    </w:rPr>
  </w:style>
  <w:style w:type="paragraph" w:customStyle="1" w:styleId="FigureNumberSummary">
    <w:name w:val="Figure Number/Summary"/>
    <w:basedOn w:val="TableFigureTitle"/>
    <w:rsid w:val="00555DDE"/>
  </w:style>
  <w:style w:type="paragraph" w:customStyle="1" w:styleId="BulletList3-dashes">
    <w:name w:val="Bullet List 3 - dashes"/>
    <w:basedOn w:val="TopBulletList2-numbers"/>
    <w:rsid w:val="00C437AB"/>
    <w:pPr>
      <w:numPr>
        <w:numId w:val="15"/>
      </w:numPr>
    </w:pPr>
  </w:style>
  <w:style w:type="paragraph" w:customStyle="1" w:styleId="Space-standard">
    <w:name w:val="Space - standard"/>
    <w:rsid w:val="00C437AB"/>
    <w:rPr>
      <w:rFonts w:ascii="Segoe UI Historic" w:eastAsiaTheme="minorEastAsia" w:hAnsi="Segoe UI Historic"/>
      <w:lang w:val="en-GB"/>
    </w:rPr>
  </w:style>
  <w:style w:type="paragraph" w:customStyle="1" w:styleId="BulletList4-letters">
    <w:name w:val="Bullet List 4 - letters"/>
    <w:basedOn w:val="TopBulletList2-numbers"/>
    <w:rsid w:val="003D12B8"/>
    <w:pPr>
      <w:numPr>
        <w:numId w:val="18"/>
      </w:numPr>
    </w:pPr>
  </w:style>
  <w:style w:type="paragraph" w:customStyle="1" w:styleId="BulletList5-circles">
    <w:name w:val="Bullet List 5 - circles"/>
    <w:basedOn w:val="TopBulletList2-numbers"/>
    <w:rsid w:val="00C437AB"/>
    <w:pPr>
      <w:numPr>
        <w:numId w:val="16"/>
      </w:numPr>
    </w:pPr>
  </w:style>
  <w:style w:type="paragraph" w:customStyle="1" w:styleId="BulletList6-romannumerals">
    <w:name w:val="Bullet List 6 - roman numerals"/>
    <w:basedOn w:val="TopBulletList2-numbers"/>
    <w:rsid w:val="00F61F2E"/>
    <w:pPr>
      <w:numPr>
        <w:numId w:val="17"/>
      </w:numPr>
    </w:pPr>
  </w:style>
  <w:style w:type="paragraph" w:styleId="BlockText">
    <w:name w:val="Block Text"/>
    <w:aliases w:val="X5) Block Text"/>
    <w:basedOn w:val="Normal"/>
    <w:uiPriority w:val="99"/>
    <w:unhideWhenUsed/>
    <w:locked/>
    <w:rsid w:val="0028189C"/>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before="120" w:line="220" w:lineRule="atLeast"/>
      <w:ind w:left="680" w:right="680"/>
      <w:contextualSpacing/>
      <w:jc w:val="center"/>
    </w:pPr>
    <w:rPr>
      <w:i/>
      <w:iCs/>
      <w:color w:val="365F91" w:themeColor="accent1" w:themeShade="BF"/>
      <w:sz w:val="18"/>
    </w:rPr>
  </w:style>
  <w:style w:type="paragraph" w:styleId="E-mailSignature">
    <w:name w:val="E-mail Signature"/>
    <w:basedOn w:val="Normal"/>
    <w:link w:val="E-mailSignatureChar"/>
    <w:uiPriority w:val="99"/>
    <w:unhideWhenUsed/>
    <w:locked/>
    <w:rsid w:val="0028189C"/>
    <w:pPr>
      <w:spacing w:after="0"/>
    </w:pPr>
  </w:style>
  <w:style w:type="character" w:customStyle="1" w:styleId="E-mailSignatureChar">
    <w:name w:val="E-mail Signature Char"/>
    <w:basedOn w:val="DefaultParagraphFont"/>
    <w:link w:val="E-mailSignature"/>
    <w:uiPriority w:val="99"/>
    <w:rsid w:val="0028189C"/>
    <w:rPr>
      <w:rFonts w:ascii="Segoe UI Historic" w:eastAsiaTheme="minorEastAsia" w:hAnsi="Segoe UI Historic"/>
      <w:sz w:val="22"/>
      <w:lang w:val="en-GB"/>
    </w:rPr>
  </w:style>
  <w:style w:type="paragraph" w:customStyle="1" w:styleId="DocumentSectionHeading">
    <w:name w:val="Document Section Heading"/>
    <w:basedOn w:val="Headingunnumbered"/>
    <w:rsid w:val="00C310CF"/>
    <w:pPr>
      <w:spacing w:before="360"/>
      <w:contextualSpacing/>
    </w:pPr>
  </w:style>
  <w:style w:type="paragraph" w:customStyle="1" w:styleId="Documenttitle">
    <w:name w:val="Document title"/>
    <w:basedOn w:val="Headingunnumbered"/>
    <w:rsid w:val="008A3FA3"/>
    <w:pPr>
      <w:spacing w:before="120"/>
      <w:jc w:val="center"/>
    </w:pPr>
    <w:rPr>
      <w:sz w:val="30"/>
    </w:rPr>
  </w:style>
  <w:style w:type="paragraph" w:customStyle="1" w:styleId="Lista1">
    <w:name w:val="Lista1"/>
    <w:next w:val="List"/>
    <w:rsid w:val="00AD6300"/>
    <w:pPr>
      <w:numPr>
        <w:numId w:val="19"/>
      </w:numPr>
      <w:spacing w:before="120" w:after="240"/>
    </w:pPr>
    <w:rPr>
      <w:rFonts w:ascii="Tahoma" w:eastAsia="Times New Roman" w:hAnsi="Tahoma" w:cs="Times New Roman"/>
      <w:szCs w:val="24"/>
      <w:lang w:val="en-GB" w:eastAsia="sv-SE"/>
    </w:rPr>
  </w:style>
  <w:style w:type="paragraph" w:customStyle="1" w:styleId="ESS-TableTitle">
    <w:name w:val="ESS-Table Title"/>
    <w:next w:val="Normal"/>
    <w:uiPriority w:val="34"/>
    <w:rsid w:val="00AD6300"/>
    <w:pPr>
      <w:keepNext/>
      <w:tabs>
        <w:tab w:val="left" w:pos="1412"/>
      </w:tabs>
      <w:spacing w:after="120" w:line="280" w:lineRule="atLeast"/>
      <w:ind w:left="1412" w:hanging="1412"/>
    </w:pPr>
    <w:rPr>
      <w:rFonts w:ascii="Calibri" w:hAnsi="Calibri"/>
      <w:b/>
      <w:sz w:val="24"/>
      <w:lang w:val="en-GB"/>
    </w:rPr>
  </w:style>
  <w:style w:type="table" w:styleId="PlainTable1">
    <w:name w:val="Plain Table 1"/>
    <w:basedOn w:val="TableNormal"/>
    <w:uiPriority w:val="41"/>
    <w:rsid w:val="00B54E4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C51C9A"/>
    <w:rPr>
      <w:color w:val="605E5C"/>
      <w:shd w:val="clear" w:color="auto" w:fill="E1DFDD"/>
    </w:rPr>
  </w:style>
  <w:style w:type="character" w:styleId="FollowedHyperlink">
    <w:name w:val="FollowedHyperlink"/>
    <w:basedOn w:val="DefaultParagraphFont"/>
    <w:uiPriority w:val="99"/>
    <w:semiHidden/>
    <w:unhideWhenUsed/>
    <w:locked/>
    <w:rsid w:val="009F66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515426">
      <w:bodyDiv w:val="1"/>
      <w:marLeft w:val="0"/>
      <w:marRight w:val="0"/>
      <w:marTop w:val="0"/>
      <w:marBottom w:val="0"/>
      <w:divBdr>
        <w:top w:val="none" w:sz="0" w:space="0" w:color="auto"/>
        <w:left w:val="none" w:sz="0" w:space="0" w:color="auto"/>
        <w:bottom w:val="none" w:sz="0" w:space="0" w:color="auto"/>
        <w:right w:val="none" w:sz="0" w:space="0" w:color="auto"/>
      </w:divBdr>
    </w:div>
    <w:div w:id="917397581">
      <w:bodyDiv w:val="1"/>
      <w:marLeft w:val="0"/>
      <w:marRight w:val="0"/>
      <w:marTop w:val="0"/>
      <w:marBottom w:val="0"/>
      <w:divBdr>
        <w:top w:val="none" w:sz="0" w:space="0" w:color="auto"/>
        <w:left w:val="none" w:sz="0" w:space="0" w:color="auto"/>
        <w:bottom w:val="none" w:sz="0" w:space="0" w:color="auto"/>
        <w:right w:val="none" w:sz="0" w:space="0" w:color="auto"/>
      </w:divBdr>
      <w:divsChild>
        <w:div w:id="167719769">
          <w:marLeft w:val="0"/>
          <w:marRight w:val="0"/>
          <w:marTop w:val="0"/>
          <w:marBottom w:val="0"/>
          <w:divBdr>
            <w:top w:val="none" w:sz="0" w:space="0" w:color="auto"/>
            <w:left w:val="none" w:sz="0" w:space="0" w:color="auto"/>
            <w:bottom w:val="none" w:sz="0" w:space="0" w:color="auto"/>
            <w:right w:val="none" w:sz="0" w:space="0" w:color="auto"/>
          </w:divBdr>
          <w:divsChild>
            <w:div w:id="3552373">
              <w:marLeft w:val="0"/>
              <w:marRight w:val="0"/>
              <w:marTop w:val="0"/>
              <w:marBottom w:val="0"/>
              <w:divBdr>
                <w:top w:val="none" w:sz="0" w:space="0" w:color="auto"/>
                <w:left w:val="none" w:sz="0" w:space="0" w:color="auto"/>
                <w:bottom w:val="none" w:sz="0" w:space="0" w:color="auto"/>
                <w:right w:val="none" w:sz="0" w:space="0" w:color="auto"/>
              </w:divBdr>
              <w:divsChild>
                <w:div w:id="131675884">
                  <w:marLeft w:val="0"/>
                  <w:marRight w:val="0"/>
                  <w:marTop w:val="0"/>
                  <w:marBottom w:val="0"/>
                  <w:divBdr>
                    <w:top w:val="none" w:sz="0" w:space="0" w:color="auto"/>
                    <w:left w:val="none" w:sz="0" w:space="0" w:color="auto"/>
                    <w:bottom w:val="none" w:sz="0" w:space="0" w:color="auto"/>
                    <w:right w:val="none" w:sz="0" w:space="0" w:color="auto"/>
                  </w:divBdr>
                </w:div>
                <w:div w:id="446003981">
                  <w:marLeft w:val="0"/>
                  <w:marRight w:val="0"/>
                  <w:marTop w:val="0"/>
                  <w:marBottom w:val="0"/>
                  <w:divBdr>
                    <w:top w:val="none" w:sz="0" w:space="0" w:color="auto"/>
                    <w:left w:val="none" w:sz="0" w:space="0" w:color="auto"/>
                    <w:bottom w:val="none" w:sz="0" w:space="0" w:color="auto"/>
                    <w:right w:val="none" w:sz="0" w:space="0" w:color="auto"/>
                  </w:divBdr>
                </w:div>
                <w:div w:id="635188052">
                  <w:marLeft w:val="0"/>
                  <w:marRight w:val="0"/>
                  <w:marTop w:val="0"/>
                  <w:marBottom w:val="0"/>
                  <w:divBdr>
                    <w:top w:val="none" w:sz="0" w:space="0" w:color="auto"/>
                    <w:left w:val="none" w:sz="0" w:space="0" w:color="auto"/>
                    <w:bottom w:val="none" w:sz="0" w:space="0" w:color="auto"/>
                    <w:right w:val="none" w:sz="0" w:space="0" w:color="auto"/>
                  </w:divBdr>
                </w:div>
                <w:div w:id="1049497119">
                  <w:marLeft w:val="0"/>
                  <w:marRight w:val="0"/>
                  <w:marTop w:val="0"/>
                  <w:marBottom w:val="0"/>
                  <w:divBdr>
                    <w:top w:val="none" w:sz="0" w:space="0" w:color="auto"/>
                    <w:left w:val="none" w:sz="0" w:space="0" w:color="auto"/>
                    <w:bottom w:val="none" w:sz="0" w:space="0" w:color="auto"/>
                    <w:right w:val="none" w:sz="0" w:space="0" w:color="auto"/>
                  </w:divBdr>
                </w:div>
                <w:div w:id="1120294674">
                  <w:marLeft w:val="0"/>
                  <w:marRight w:val="0"/>
                  <w:marTop w:val="0"/>
                  <w:marBottom w:val="0"/>
                  <w:divBdr>
                    <w:top w:val="none" w:sz="0" w:space="0" w:color="auto"/>
                    <w:left w:val="none" w:sz="0" w:space="0" w:color="auto"/>
                    <w:bottom w:val="none" w:sz="0" w:space="0" w:color="auto"/>
                    <w:right w:val="none" w:sz="0" w:space="0" w:color="auto"/>
                  </w:divBdr>
                </w:div>
                <w:div w:id="1432319757">
                  <w:marLeft w:val="0"/>
                  <w:marRight w:val="0"/>
                  <w:marTop w:val="0"/>
                  <w:marBottom w:val="0"/>
                  <w:divBdr>
                    <w:top w:val="none" w:sz="0" w:space="0" w:color="auto"/>
                    <w:left w:val="none" w:sz="0" w:space="0" w:color="auto"/>
                    <w:bottom w:val="none" w:sz="0" w:space="0" w:color="auto"/>
                    <w:right w:val="none" w:sz="0" w:space="0" w:color="auto"/>
                  </w:divBdr>
                </w:div>
                <w:div w:id="155315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2451">
          <w:marLeft w:val="0"/>
          <w:marRight w:val="0"/>
          <w:marTop w:val="0"/>
          <w:marBottom w:val="0"/>
          <w:divBdr>
            <w:top w:val="none" w:sz="0" w:space="0" w:color="auto"/>
            <w:left w:val="none" w:sz="0" w:space="0" w:color="auto"/>
            <w:bottom w:val="none" w:sz="0" w:space="0" w:color="auto"/>
            <w:right w:val="none" w:sz="0" w:space="0" w:color="auto"/>
          </w:divBdr>
          <w:divsChild>
            <w:div w:id="8338865">
              <w:marLeft w:val="0"/>
              <w:marRight w:val="0"/>
              <w:marTop w:val="0"/>
              <w:marBottom w:val="0"/>
              <w:divBdr>
                <w:top w:val="none" w:sz="0" w:space="0" w:color="auto"/>
                <w:left w:val="none" w:sz="0" w:space="0" w:color="auto"/>
                <w:bottom w:val="none" w:sz="0" w:space="0" w:color="auto"/>
                <w:right w:val="none" w:sz="0" w:space="0" w:color="auto"/>
              </w:divBdr>
              <w:divsChild>
                <w:div w:id="462189699">
                  <w:marLeft w:val="0"/>
                  <w:marRight w:val="0"/>
                  <w:marTop w:val="0"/>
                  <w:marBottom w:val="0"/>
                  <w:divBdr>
                    <w:top w:val="none" w:sz="0" w:space="0" w:color="auto"/>
                    <w:left w:val="none" w:sz="0" w:space="0" w:color="auto"/>
                    <w:bottom w:val="none" w:sz="0" w:space="0" w:color="auto"/>
                    <w:right w:val="none" w:sz="0" w:space="0" w:color="auto"/>
                  </w:divBdr>
                </w:div>
                <w:div w:id="801458142">
                  <w:marLeft w:val="0"/>
                  <w:marRight w:val="0"/>
                  <w:marTop w:val="0"/>
                  <w:marBottom w:val="0"/>
                  <w:divBdr>
                    <w:top w:val="none" w:sz="0" w:space="0" w:color="auto"/>
                    <w:left w:val="none" w:sz="0" w:space="0" w:color="auto"/>
                    <w:bottom w:val="none" w:sz="0" w:space="0" w:color="auto"/>
                    <w:right w:val="none" w:sz="0" w:space="0" w:color="auto"/>
                  </w:divBdr>
                </w:div>
                <w:div w:id="838693522">
                  <w:marLeft w:val="0"/>
                  <w:marRight w:val="0"/>
                  <w:marTop w:val="0"/>
                  <w:marBottom w:val="0"/>
                  <w:divBdr>
                    <w:top w:val="none" w:sz="0" w:space="0" w:color="auto"/>
                    <w:left w:val="none" w:sz="0" w:space="0" w:color="auto"/>
                    <w:bottom w:val="none" w:sz="0" w:space="0" w:color="auto"/>
                    <w:right w:val="none" w:sz="0" w:space="0" w:color="auto"/>
                  </w:divBdr>
                </w:div>
                <w:div w:id="847446450">
                  <w:marLeft w:val="0"/>
                  <w:marRight w:val="0"/>
                  <w:marTop w:val="0"/>
                  <w:marBottom w:val="0"/>
                  <w:divBdr>
                    <w:top w:val="none" w:sz="0" w:space="0" w:color="auto"/>
                    <w:left w:val="none" w:sz="0" w:space="0" w:color="auto"/>
                    <w:bottom w:val="none" w:sz="0" w:space="0" w:color="auto"/>
                    <w:right w:val="none" w:sz="0" w:space="0" w:color="auto"/>
                  </w:divBdr>
                </w:div>
                <w:div w:id="1801805768">
                  <w:marLeft w:val="0"/>
                  <w:marRight w:val="0"/>
                  <w:marTop w:val="0"/>
                  <w:marBottom w:val="0"/>
                  <w:divBdr>
                    <w:top w:val="none" w:sz="0" w:space="0" w:color="auto"/>
                    <w:left w:val="none" w:sz="0" w:space="0" w:color="auto"/>
                    <w:bottom w:val="none" w:sz="0" w:space="0" w:color="auto"/>
                    <w:right w:val="none" w:sz="0" w:space="0" w:color="auto"/>
                  </w:divBdr>
                </w:div>
                <w:div w:id="198935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14580">
          <w:marLeft w:val="0"/>
          <w:marRight w:val="0"/>
          <w:marTop w:val="0"/>
          <w:marBottom w:val="0"/>
          <w:divBdr>
            <w:top w:val="none" w:sz="0" w:space="0" w:color="auto"/>
            <w:left w:val="none" w:sz="0" w:space="0" w:color="auto"/>
            <w:bottom w:val="none" w:sz="0" w:space="0" w:color="auto"/>
            <w:right w:val="none" w:sz="0" w:space="0" w:color="auto"/>
          </w:divBdr>
          <w:divsChild>
            <w:div w:id="170459612">
              <w:marLeft w:val="0"/>
              <w:marRight w:val="0"/>
              <w:marTop w:val="0"/>
              <w:marBottom w:val="0"/>
              <w:divBdr>
                <w:top w:val="none" w:sz="0" w:space="0" w:color="auto"/>
                <w:left w:val="none" w:sz="0" w:space="0" w:color="auto"/>
                <w:bottom w:val="none" w:sz="0" w:space="0" w:color="auto"/>
                <w:right w:val="none" w:sz="0" w:space="0" w:color="auto"/>
              </w:divBdr>
            </w:div>
            <w:div w:id="180826612">
              <w:marLeft w:val="0"/>
              <w:marRight w:val="0"/>
              <w:marTop w:val="0"/>
              <w:marBottom w:val="0"/>
              <w:divBdr>
                <w:top w:val="none" w:sz="0" w:space="0" w:color="auto"/>
                <w:left w:val="none" w:sz="0" w:space="0" w:color="auto"/>
                <w:bottom w:val="none" w:sz="0" w:space="0" w:color="auto"/>
                <w:right w:val="none" w:sz="0" w:space="0" w:color="auto"/>
              </w:divBdr>
            </w:div>
            <w:div w:id="216432189">
              <w:marLeft w:val="0"/>
              <w:marRight w:val="0"/>
              <w:marTop w:val="0"/>
              <w:marBottom w:val="0"/>
              <w:divBdr>
                <w:top w:val="none" w:sz="0" w:space="0" w:color="auto"/>
                <w:left w:val="none" w:sz="0" w:space="0" w:color="auto"/>
                <w:bottom w:val="none" w:sz="0" w:space="0" w:color="auto"/>
                <w:right w:val="none" w:sz="0" w:space="0" w:color="auto"/>
              </w:divBdr>
            </w:div>
            <w:div w:id="580216021">
              <w:marLeft w:val="0"/>
              <w:marRight w:val="0"/>
              <w:marTop w:val="0"/>
              <w:marBottom w:val="0"/>
              <w:divBdr>
                <w:top w:val="none" w:sz="0" w:space="0" w:color="auto"/>
                <w:left w:val="none" w:sz="0" w:space="0" w:color="auto"/>
                <w:bottom w:val="none" w:sz="0" w:space="0" w:color="auto"/>
                <w:right w:val="none" w:sz="0" w:space="0" w:color="auto"/>
              </w:divBdr>
              <w:divsChild>
                <w:div w:id="1326132448">
                  <w:marLeft w:val="0"/>
                  <w:marRight w:val="0"/>
                  <w:marTop w:val="0"/>
                  <w:marBottom w:val="0"/>
                  <w:divBdr>
                    <w:top w:val="none" w:sz="0" w:space="0" w:color="auto"/>
                    <w:left w:val="none" w:sz="0" w:space="0" w:color="auto"/>
                    <w:bottom w:val="none" w:sz="0" w:space="0" w:color="auto"/>
                    <w:right w:val="none" w:sz="0" w:space="0" w:color="auto"/>
                  </w:divBdr>
                  <w:divsChild>
                    <w:div w:id="2023244033">
                      <w:marLeft w:val="0"/>
                      <w:marRight w:val="0"/>
                      <w:marTop w:val="0"/>
                      <w:marBottom w:val="0"/>
                      <w:divBdr>
                        <w:top w:val="none" w:sz="0" w:space="0" w:color="auto"/>
                        <w:left w:val="none" w:sz="0" w:space="0" w:color="auto"/>
                        <w:bottom w:val="none" w:sz="0" w:space="0" w:color="auto"/>
                        <w:right w:val="none" w:sz="0" w:space="0" w:color="auto"/>
                      </w:divBdr>
                      <w:divsChild>
                        <w:div w:id="701248989">
                          <w:marLeft w:val="0"/>
                          <w:marRight w:val="0"/>
                          <w:marTop w:val="0"/>
                          <w:marBottom w:val="0"/>
                          <w:divBdr>
                            <w:top w:val="none" w:sz="0" w:space="0" w:color="auto"/>
                            <w:left w:val="none" w:sz="0" w:space="0" w:color="auto"/>
                            <w:bottom w:val="none" w:sz="0" w:space="0" w:color="auto"/>
                            <w:right w:val="none" w:sz="0" w:space="0" w:color="auto"/>
                          </w:divBdr>
                          <w:divsChild>
                            <w:div w:id="75447990">
                              <w:marLeft w:val="0"/>
                              <w:marRight w:val="0"/>
                              <w:marTop w:val="0"/>
                              <w:marBottom w:val="0"/>
                              <w:divBdr>
                                <w:top w:val="none" w:sz="0" w:space="0" w:color="auto"/>
                                <w:left w:val="none" w:sz="0" w:space="0" w:color="auto"/>
                                <w:bottom w:val="none" w:sz="0" w:space="0" w:color="auto"/>
                                <w:right w:val="none" w:sz="0" w:space="0" w:color="auto"/>
                              </w:divBdr>
                              <w:divsChild>
                                <w:div w:id="800683463">
                                  <w:marLeft w:val="0"/>
                                  <w:marRight w:val="0"/>
                                  <w:marTop w:val="0"/>
                                  <w:marBottom w:val="0"/>
                                  <w:divBdr>
                                    <w:top w:val="none" w:sz="0" w:space="0" w:color="auto"/>
                                    <w:left w:val="none" w:sz="0" w:space="0" w:color="auto"/>
                                    <w:bottom w:val="none" w:sz="0" w:space="0" w:color="auto"/>
                                    <w:right w:val="none" w:sz="0" w:space="0" w:color="auto"/>
                                  </w:divBdr>
                                </w:div>
                                <w:div w:id="1958023359">
                                  <w:marLeft w:val="0"/>
                                  <w:marRight w:val="0"/>
                                  <w:marTop w:val="0"/>
                                  <w:marBottom w:val="0"/>
                                  <w:divBdr>
                                    <w:top w:val="none" w:sz="0" w:space="0" w:color="auto"/>
                                    <w:left w:val="none" w:sz="0" w:space="0" w:color="auto"/>
                                    <w:bottom w:val="none" w:sz="0" w:space="0" w:color="auto"/>
                                    <w:right w:val="none" w:sz="0" w:space="0" w:color="auto"/>
                                  </w:divBdr>
                                </w:div>
                              </w:divsChild>
                            </w:div>
                            <w:div w:id="599335085">
                              <w:marLeft w:val="0"/>
                              <w:marRight w:val="0"/>
                              <w:marTop w:val="0"/>
                              <w:marBottom w:val="0"/>
                              <w:divBdr>
                                <w:top w:val="none" w:sz="0" w:space="0" w:color="auto"/>
                                <w:left w:val="none" w:sz="0" w:space="0" w:color="auto"/>
                                <w:bottom w:val="none" w:sz="0" w:space="0" w:color="auto"/>
                                <w:right w:val="none" w:sz="0" w:space="0" w:color="auto"/>
                              </w:divBdr>
                              <w:divsChild>
                                <w:div w:id="33576980">
                                  <w:marLeft w:val="0"/>
                                  <w:marRight w:val="0"/>
                                  <w:marTop w:val="0"/>
                                  <w:marBottom w:val="0"/>
                                  <w:divBdr>
                                    <w:top w:val="none" w:sz="0" w:space="0" w:color="auto"/>
                                    <w:left w:val="none" w:sz="0" w:space="0" w:color="auto"/>
                                    <w:bottom w:val="none" w:sz="0" w:space="0" w:color="auto"/>
                                    <w:right w:val="none" w:sz="0" w:space="0" w:color="auto"/>
                                  </w:divBdr>
                                </w:div>
                                <w:div w:id="2024475559">
                                  <w:marLeft w:val="0"/>
                                  <w:marRight w:val="0"/>
                                  <w:marTop w:val="0"/>
                                  <w:marBottom w:val="0"/>
                                  <w:divBdr>
                                    <w:top w:val="none" w:sz="0" w:space="0" w:color="auto"/>
                                    <w:left w:val="none" w:sz="0" w:space="0" w:color="auto"/>
                                    <w:bottom w:val="none" w:sz="0" w:space="0" w:color="auto"/>
                                    <w:right w:val="none" w:sz="0" w:space="0" w:color="auto"/>
                                  </w:divBdr>
                                </w:div>
                              </w:divsChild>
                            </w:div>
                            <w:div w:id="1275402704">
                              <w:marLeft w:val="0"/>
                              <w:marRight w:val="0"/>
                              <w:marTop w:val="0"/>
                              <w:marBottom w:val="0"/>
                              <w:divBdr>
                                <w:top w:val="none" w:sz="0" w:space="0" w:color="auto"/>
                                <w:left w:val="none" w:sz="0" w:space="0" w:color="auto"/>
                                <w:bottom w:val="none" w:sz="0" w:space="0" w:color="auto"/>
                                <w:right w:val="none" w:sz="0" w:space="0" w:color="auto"/>
                              </w:divBdr>
                              <w:divsChild>
                                <w:div w:id="1456439034">
                                  <w:marLeft w:val="0"/>
                                  <w:marRight w:val="0"/>
                                  <w:marTop w:val="0"/>
                                  <w:marBottom w:val="0"/>
                                  <w:divBdr>
                                    <w:top w:val="none" w:sz="0" w:space="0" w:color="auto"/>
                                    <w:left w:val="none" w:sz="0" w:space="0" w:color="auto"/>
                                    <w:bottom w:val="none" w:sz="0" w:space="0" w:color="auto"/>
                                    <w:right w:val="none" w:sz="0" w:space="0" w:color="auto"/>
                                  </w:divBdr>
                                </w:div>
                                <w:div w:id="2026862152">
                                  <w:marLeft w:val="0"/>
                                  <w:marRight w:val="0"/>
                                  <w:marTop w:val="0"/>
                                  <w:marBottom w:val="0"/>
                                  <w:divBdr>
                                    <w:top w:val="none" w:sz="0" w:space="0" w:color="auto"/>
                                    <w:left w:val="none" w:sz="0" w:space="0" w:color="auto"/>
                                    <w:bottom w:val="none" w:sz="0" w:space="0" w:color="auto"/>
                                    <w:right w:val="none" w:sz="0" w:space="0" w:color="auto"/>
                                  </w:divBdr>
                                </w:div>
                              </w:divsChild>
                            </w:div>
                            <w:div w:id="1734891200">
                              <w:marLeft w:val="0"/>
                              <w:marRight w:val="0"/>
                              <w:marTop w:val="0"/>
                              <w:marBottom w:val="0"/>
                              <w:divBdr>
                                <w:top w:val="none" w:sz="0" w:space="0" w:color="auto"/>
                                <w:left w:val="none" w:sz="0" w:space="0" w:color="auto"/>
                                <w:bottom w:val="none" w:sz="0" w:space="0" w:color="auto"/>
                                <w:right w:val="none" w:sz="0" w:space="0" w:color="auto"/>
                              </w:divBdr>
                              <w:divsChild>
                                <w:div w:id="1081100866">
                                  <w:marLeft w:val="0"/>
                                  <w:marRight w:val="0"/>
                                  <w:marTop w:val="0"/>
                                  <w:marBottom w:val="0"/>
                                  <w:divBdr>
                                    <w:top w:val="none" w:sz="0" w:space="0" w:color="auto"/>
                                    <w:left w:val="none" w:sz="0" w:space="0" w:color="auto"/>
                                    <w:bottom w:val="none" w:sz="0" w:space="0" w:color="auto"/>
                                    <w:right w:val="none" w:sz="0" w:space="0" w:color="auto"/>
                                  </w:divBdr>
                                </w:div>
                                <w:div w:id="1743943974">
                                  <w:marLeft w:val="0"/>
                                  <w:marRight w:val="0"/>
                                  <w:marTop w:val="0"/>
                                  <w:marBottom w:val="0"/>
                                  <w:divBdr>
                                    <w:top w:val="none" w:sz="0" w:space="0" w:color="auto"/>
                                    <w:left w:val="none" w:sz="0" w:space="0" w:color="auto"/>
                                    <w:bottom w:val="none" w:sz="0" w:space="0" w:color="auto"/>
                                    <w:right w:val="none" w:sz="0" w:space="0" w:color="auto"/>
                                  </w:divBdr>
                                </w:div>
                              </w:divsChild>
                            </w:div>
                            <w:div w:id="1932808604">
                              <w:marLeft w:val="0"/>
                              <w:marRight w:val="0"/>
                              <w:marTop w:val="0"/>
                              <w:marBottom w:val="0"/>
                              <w:divBdr>
                                <w:top w:val="none" w:sz="0" w:space="0" w:color="auto"/>
                                <w:left w:val="none" w:sz="0" w:space="0" w:color="auto"/>
                                <w:bottom w:val="none" w:sz="0" w:space="0" w:color="auto"/>
                                <w:right w:val="none" w:sz="0" w:space="0" w:color="auto"/>
                              </w:divBdr>
                              <w:divsChild>
                                <w:div w:id="130445153">
                                  <w:marLeft w:val="0"/>
                                  <w:marRight w:val="0"/>
                                  <w:marTop w:val="0"/>
                                  <w:marBottom w:val="0"/>
                                  <w:divBdr>
                                    <w:top w:val="none" w:sz="0" w:space="0" w:color="auto"/>
                                    <w:left w:val="none" w:sz="0" w:space="0" w:color="auto"/>
                                    <w:bottom w:val="none" w:sz="0" w:space="0" w:color="auto"/>
                                    <w:right w:val="none" w:sz="0" w:space="0" w:color="auto"/>
                                  </w:divBdr>
                                </w:div>
                                <w:div w:id="16628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757465">
              <w:marLeft w:val="270"/>
              <w:marRight w:val="0"/>
              <w:marTop w:val="0"/>
              <w:marBottom w:val="0"/>
              <w:divBdr>
                <w:top w:val="none" w:sz="0" w:space="0" w:color="auto"/>
                <w:left w:val="none" w:sz="0" w:space="0" w:color="auto"/>
                <w:bottom w:val="none" w:sz="0" w:space="0" w:color="auto"/>
                <w:right w:val="none" w:sz="0" w:space="0" w:color="auto"/>
              </w:divBdr>
              <w:divsChild>
                <w:div w:id="63071773">
                  <w:marLeft w:val="0"/>
                  <w:marRight w:val="0"/>
                  <w:marTop w:val="0"/>
                  <w:marBottom w:val="0"/>
                  <w:divBdr>
                    <w:top w:val="none" w:sz="0" w:space="0" w:color="auto"/>
                    <w:left w:val="none" w:sz="0" w:space="0" w:color="auto"/>
                    <w:bottom w:val="none" w:sz="0" w:space="0" w:color="auto"/>
                    <w:right w:val="none" w:sz="0" w:space="0" w:color="auto"/>
                  </w:divBdr>
                  <w:divsChild>
                    <w:div w:id="719943533">
                      <w:marLeft w:val="0"/>
                      <w:marRight w:val="0"/>
                      <w:marTop w:val="0"/>
                      <w:marBottom w:val="0"/>
                      <w:divBdr>
                        <w:top w:val="none" w:sz="0" w:space="0" w:color="auto"/>
                        <w:left w:val="none" w:sz="0" w:space="0" w:color="auto"/>
                        <w:bottom w:val="none" w:sz="0" w:space="0" w:color="auto"/>
                        <w:right w:val="none" w:sz="0" w:space="0" w:color="auto"/>
                      </w:divBdr>
                    </w:div>
                    <w:div w:id="748304818">
                      <w:marLeft w:val="0"/>
                      <w:marRight w:val="0"/>
                      <w:marTop w:val="0"/>
                      <w:marBottom w:val="0"/>
                      <w:divBdr>
                        <w:top w:val="none" w:sz="0" w:space="0" w:color="auto"/>
                        <w:left w:val="none" w:sz="0" w:space="0" w:color="auto"/>
                        <w:bottom w:val="none" w:sz="0" w:space="0" w:color="auto"/>
                        <w:right w:val="none" w:sz="0" w:space="0" w:color="auto"/>
                      </w:divBdr>
                    </w:div>
                  </w:divsChild>
                </w:div>
                <w:div w:id="75634594">
                  <w:marLeft w:val="0"/>
                  <w:marRight w:val="0"/>
                  <w:marTop w:val="0"/>
                  <w:marBottom w:val="0"/>
                  <w:divBdr>
                    <w:top w:val="none" w:sz="0" w:space="0" w:color="auto"/>
                    <w:left w:val="none" w:sz="0" w:space="0" w:color="auto"/>
                    <w:bottom w:val="none" w:sz="0" w:space="0" w:color="auto"/>
                    <w:right w:val="none" w:sz="0" w:space="0" w:color="auto"/>
                  </w:divBdr>
                  <w:divsChild>
                    <w:div w:id="1303805187">
                      <w:marLeft w:val="0"/>
                      <w:marRight w:val="0"/>
                      <w:marTop w:val="0"/>
                      <w:marBottom w:val="0"/>
                      <w:divBdr>
                        <w:top w:val="none" w:sz="0" w:space="0" w:color="auto"/>
                        <w:left w:val="none" w:sz="0" w:space="0" w:color="auto"/>
                        <w:bottom w:val="none" w:sz="0" w:space="0" w:color="auto"/>
                        <w:right w:val="none" w:sz="0" w:space="0" w:color="auto"/>
                      </w:divBdr>
                    </w:div>
                    <w:div w:id="1820262899">
                      <w:marLeft w:val="0"/>
                      <w:marRight w:val="0"/>
                      <w:marTop w:val="0"/>
                      <w:marBottom w:val="0"/>
                      <w:divBdr>
                        <w:top w:val="none" w:sz="0" w:space="0" w:color="auto"/>
                        <w:left w:val="none" w:sz="0" w:space="0" w:color="auto"/>
                        <w:bottom w:val="none" w:sz="0" w:space="0" w:color="auto"/>
                        <w:right w:val="none" w:sz="0" w:space="0" w:color="auto"/>
                      </w:divBdr>
                    </w:div>
                  </w:divsChild>
                </w:div>
                <w:div w:id="275448104">
                  <w:marLeft w:val="0"/>
                  <w:marRight w:val="0"/>
                  <w:marTop w:val="0"/>
                  <w:marBottom w:val="0"/>
                  <w:divBdr>
                    <w:top w:val="none" w:sz="0" w:space="0" w:color="auto"/>
                    <w:left w:val="none" w:sz="0" w:space="0" w:color="auto"/>
                    <w:bottom w:val="none" w:sz="0" w:space="0" w:color="auto"/>
                    <w:right w:val="none" w:sz="0" w:space="0" w:color="auto"/>
                  </w:divBdr>
                  <w:divsChild>
                    <w:div w:id="177425150">
                      <w:marLeft w:val="0"/>
                      <w:marRight w:val="0"/>
                      <w:marTop w:val="0"/>
                      <w:marBottom w:val="0"/>
                      <w:divBdr>
                        <w:top w:val="none" w:sz="0" w:space="0" w:color="auto"/>
                        <w:left w:val="none" w:sz="0" w:space="0" w:color="auto"/>
                        <w:bottom w:val="none" w:sz="0" w:space="0" w:color="auto"/>
                        <w:right w:val="none" w:sz="0" w:space="0" w:color="auto"/>
                      </w:divBdr>
                    </w:div>
                    <w:div w:id="364912693">
                      <w:marLeft w:val="0"/>
                      <w:marRight w:val="0"/>
                      <w:marTop w:val="0"/>
                      <w:marBottom w:val="0"/>
                      <w:divBdr>
                        <w:top w:val="none" w:sz="0" w:space="0" w:color="auto"/>
                        <w:left w:val="none" w:sz="0" w:space="0" w:color="auto"/>
                        <w:bottom w:val="none" w:sz="0" w:space="0" w:color="auto"/>
                        <w:right w:val="none" w:sz="0" w:space="0" w:color="auto"/>
                      </w:divBdr>
                    </w:div>
                  </w:divsChild>
                </w:div>
                <w:div w:id="370501444">
                  <w:marLeft w:val="0"/>
                  <w:marRight w:val="0"/>
                  <w:marTop w:val="0"/>
                  <w:marBottom w:val="0"/>
                  <w:divBdr>
                    <w:top w:val="none" w:sz="0" w:space="0" w:color="auto"/>
                    <w:left w:val="none" w:sz="0" w:space="0" w:color="auto"/>
                    <w:bottom w:val="none" w:sz="0" w:space="0" w:color="auto"/>
                    <w:right w:val="none" w:sz="0" w:space="0" w:color="auto"/>
                  </w:divBdr>
                  <w:divsChild>
                    <w:div w:id="192153634">
                      <w:marLeft w:val="0"/>
                      <w:marRight w:val="0"/>
                      <w:marTop w:val="0"/>
                      <w:marBottom w:val="0"/>
                      <w:divBdr>
                        <w:top w:val="none" w:sz="0" w:space="0" w:color="auto"/>
                        <w:left w:val="none" w:sz="0" w:space="0" w:color="auto"/>
                        <w:bottom w:val="none" w:sz="0" w:space="0" w:color="auto"/>
                        <w:right w:val="none" w:sz="0" w:space="0" w:color="auto"/>
                      </w:divBdr>
                    </w:div>
                    <w:div w:id="2019236863">
                      <w:marLeft w:val="0"/>
                      <w:marRight w:val="0"/>
                      <w:marTop w:val="0"/>
                      <w:marBottom w:val="0"/>
                      <w:divBdr>
                        <w:top w:val="none" w:sz="0" w:space="0" w:color="auto"/>
                        <w:left w:val="none" w:sz="0" w:space="0" w:color="auto"/>
                        <w:bottom w:val="none" w:sz="0" w:space="0" w:color="auto"/>
                        <w:right w:val="none" w:sz="0" w:space="0" w:color="auto"/>
                      </w:divBdr>
                    </w:div>
                  </w:divsChild>
                </w:div>
                <w:div w:id="606232586">
                  <w:marLeft w:val="0"/>
                  <w:marRight w:val="0"/>
                  <w:marTop w:val="0"/>
                  <w:marBottom w:val="0"/>
                  <w:divBdr>
                    <w:top w:val="none" w:sz="0" w:space="0" w:color="auto"/>
                    <w:left w:val="none" w:sz="0" w:space="0" w:color="auto"/>
                    <w:bottom w:val="none" w:sz="0" w:space="0" w:color="auto"/>
                    <w:right w:val="none" w:sz="0" w:space="0" w:color="auto"/>
                  </w:divBdr>
                  <w:divsChild>
                    <w:div w:id="115297055">
                      <w:marLeft w:val="0"/>
                      <w:marRight w:val="0"/>
                      <w:marTop w:val="0"/>
                      <w:marBottom w:val="0"/>
                      <w:divBdr>
                        <w:top w:val="none" w:sz="0" w:space="0" w:color="auto"/>
                        <w:left w:val="none" w:sz="0" w:space="0" w:color="auto"/>
                        <w:bottom w:val="none" w:sz="0" w:space="0" w:color="auto"/>
                        <w:right w:val="none" w:sz="0" w:space="0" w:color="auto"/>
                      </w:divBdr>
                    </w:div>
                    <w:div w:id="2032028668">
                      <w:marLeft w:val="0"/>
                      <w:marRight w:val="0"/>
                      <w:marTop w:val="0"/>
                      <w:marBottom w:val="0"/>
                      <w:divBdr>
                        <w:top w:val="none" w:sz="0" w:space="0" w:color="auto"/>
                        <w:left w:val="none" w:sz="0" w:space="0" w:color="auto"/>
                        <w:bottom w:val="none" w:sz="0" w:space="0" w:color="auto"/>
                        <w:right w:val="none" w:sz="0" w:space="0" w:color="auto"/>
                      </w:divBdr>
                    </w:div>
                  </w:divsChild>
                </w:div>
                <w:div w:id="683552282">
                  <w:marLeft w:val="0"/>
                  <w:marRight w:val="0"/>
                  <w:marTop w:val="0"/>
                  <w:marBottom w:val="0"/>
                  <w:divBdr>
                    <w:top w:val="none" w:sz="0" w:space="0" w:color="auto"/>
                    <w:left w:val="none" w:sz="0" w:space="0" w:color="auto"/>
                    <w:bottom w:val="none" w:sz="0" w:space="0" w:color="auto"/>
                    <w:right w:val="none" w:sz="0" w:space="0" w:color="auto"/>
                  </w:divBdr>
                  <w:divsChild>
                    <w:div w:id="1173186174">
                      <w:marLeft w:val="0"/>
                      <w:marRight w:val="0"/>
                      <w:marTop w:val="0"/>
                      <w:marBottom w:val="0"/>
                      <w:divBdr>
                        <w:top w:val="none" w:sz="0" w:space="0" w:color="auto"/>
                        <w:left w:val="none" w:sz="0" w:space="0" w:color="auto"/>
                        <w:bottom w:val="none" w:sz="0" w:space="0" w:color="auto"/>
                        <w:right w:val="none" w:sz="0" w:space="0" w:color="auto"/>
                      </w:divBdr>
                    </w:div>
                    <w:div w:id="1762943675">
                      <w:marLeft w:val="0"/>
                      <w:marRight w:val="0"/>
                      <w:marTop w:val="0"/>
                      <w:marBottom w:val="0"/>
                      <w:divBdr>
                        <w:top w:val="none" w:sz="0" w:space="0" w:color="auto"/>
                        <w:left w:val="none" w:sz="0" w:space="0" w:color="auto"/>
                        <w:bottom w:val="none" w:sz="0" w:space="0" w:color="auto"/>
                        <w:right w:val="none" w:sz="0" w:space="0" w:color="auto"/>
                      </w:divBdr>
                    </w:div>
                  </w:divsChild>
                </w:div>
                <w:div w:id="710770106">
                  <w:marLeft w:val="0"/>
                  <w:marRight w:val="0"/>
                  <w:marTop w:val="0"/>
                  <w:marBottom w:val="0"/>
                  <w:divBdr>
                    <w:top w:val="none" w:sz="0" w:space="0" w:color="auto"/>
                    <w:left w:val="none" w:sz="0" w:space="0" w:color="auto"/>
                    <w:bottom w:val="none" w:sz="0" w:space="0" w:color="auto"/>
                    <w:right w:val="none" w:sz="0" w:space="0" w:color="auto"/>
                  </w:divBdr>
                  <w:divsChild>
                    <w:div w:id="1093622933">
                      <w:marLeft w:val="0"/>
                      <w:marRight w:val="0"/>
                      <w:marTop w:val="0"/>
                      <w:marBottom w:val="0"/>
                      <w:divBdr>
                        <w:top w:val="none" w:sz="0" w:space="0" w:color="auto"/>
                        <w:left w:val="none" w:sz="0" w:space="0" w:color="auto"/>
                        <w:bottom w:val="none" w:sz="0" w:space="0" w:color="auto"/>
                        <w:right w:val="none" w:sz="0" w:space="0" w:color="auto"/>
                      </w:divBdr>
                    </w:div>
                    <w:div w:id="1381249836">
                      <w:marLeft w:val="0"/>
                      <w:marRight w:val="0"/>
                      <w:marTop w:val="0"/>
                      <w:marBottom w:val="0"/>
                      <w:divBdr>
                        <w:top w:val="none" w:sz="0" w:space="0" w:color="auto"/>
                        <w:left w:val="none" w:sz="0" w:space="0" w:color="auto"/>
                        <w:bottom w:val="none" w:sz="0" w:space="0" w:color="auto"/>
                        <w:right w:val="none" w:sz="0" w:space="0" w:color="auto"/>
                      </w:divBdr>
                    </w:div>
                  </w:divsChild>
                </w:div>
                <w:div w:id="740719122">
                  <w:marLeft w:val="0"/>
                  <w:marRight w:val="0"/>
                  <w:marTop w:val="0"/>
                  <w:marBottom w:val="0"/>
                  <w:divBdr>
                    <w:top w:val="none" w:sz="0" w:space="0" w:color="auto"/>
                    <w:left w:val="none" w:sz="0" w:space="0" w:color="auto"/>
                    <w:bottom w:val="none" w:sz="0" w:space="0" w:color="auto"/>
                    <w:right w:val="none" w:sz="0" w:space="0" w:color="auto"/>
                  </w:divBdr>
                  <w:divsChild>
                    <w:div w:id="109858419">
                      <w:marLeft w:val="0"/>
                      <w:marRight w:val="0"/>
                      <w:marTop w:val="0"/>
                      <w:marBottom w:val="0"/>
                      <w:divBdr>
                        <w:top w:val="none" w:sz="0" w:space="0" w:color="auto"/>
                        <w:left w:val="none" w:sz="0" w:space="0" w:color="auto"/>
                        <w:bottom w:val="none" w:sz="0" w:space="0" w:color="auto"/>
                        <w:right w:val="none" w:sz="0" w:space="0" w:color="auto"/>
                      </w:divBdr>
                    </w:div>
                    <w:div w:id="992029199">
                      <w:marLeft w:val="0"/>
                      <w:marRight w:val="0"/>
                      <w:marTop w:val="0"/>
                      <w:marBottom w:val="0"/>
                      <w:divBdr>
                        <w:top w:val="none" w:sz="0" w:space="0" w:color="auto"/>
                        <w:left w:val="none" w:sz="0" w:space="0" w:color="auto"/>
                        <w:bottom w:val="none" w:sz="0" w:space="0" w:color="auto"/>
                        <w:right w:val="none" w:sz="0" w:space="0" w:color="auto"/>
                      </w:divBdr>
                    </w:div>
                  </w:divsChild>
                </w:div>
                <w:div w:id="755708795">
                  <w:marLeft w:val="0"/>
                  <w:marRight w:val="0"/>
                  <w:marTop w:val="0"/>
                  <w:marBottom w:val="0"/>
                  <w:divBdr>
                    <w:top w:val="none" w:sz="0" w:space="0" w:color="auto"/>
                    <w:left w:val="none" w:sz="0" w:space="0" w:color="auto"/>
                    <w:bottom w:val="none" w:sz="0" w:space="0" w:color="auto"/>
                    <w:right w:val="none" w:sz="0" w:space="0" w:color="auto"/>
                  </w:divBdr>
                  <w:divsChild>
                    <w:div w:id="1062022930">
                      <w:marLeft w:val="0"/>
                      <w:marRight w:val="0"/>
                      <w:marTop w:val="0"/>
                      <w:marBottom w:val="0"/>
                      <w:divBdr>
                        <w:top w:val="none" w:sz="0" w:space="0" w:color="auto"/>
                        <w:left w:val="none" w:sz="0" w:space="0" w:color="auto"/>
                        <w:bottom w:val="none" w:sz="0" w:space="0" w:color="auto"/>
                        <w:right w:val="none" w:sz="0" w:space="0" w:color="auto"/>
                      </w:divBdr>
                    </w:div>
                    <w:div w:id="1555962966">
                      <w:marLeft w:val="0"/>
                      <w:marRight w:val="0"/>
                      <w:marTop w:val="0"/>
                      <w:marBottom w:val="0"/>
                      <w:divBdr>
                        <w:top w:val="none" w:sz="0" w:space="0" w:color="auto"/>
                        <w:left w:val="none" w:sz="0" w:space="0" w:color="auto"/>
                        <w:bottom w:val="none" w:sz="0" w:space="0" w:color="auto"/>
                        <w:right w:val="none" w:sz="0" w:space="0" w:color="auto"/>
                      </w:divBdr>
                    </w:div>
                  </w:divsChild>
                </w:div>
                <w:div w:id="766077702">
                  <w:marLeft w:val="0"/>
                  <w:marRight w:val="0"/>
                  <w:marTop w:val="0"/>
                  <w:marBottom w:val="0"/>
                  <w:divBdr>
                    <w:top w:val="none" w:sz="0" w:space="0" w:color="auto"/>
                    <w:left w:val="none" w:sz="0" w:space="0" w:color="auto"/>
                    <w:bottom w:val="none" w:sz="0" w:space="0" w:color="auto"/>
                    <w:right w:val="none" w:sz="0" w:space="0" w:color="auto"/>
                  </w:divBdr>
                  <w:divsChild>
                    <w:div w:id="1138305939">
                      <w:marLeft w:val="0"/>
                      <w:marRight w:val="0"/>
                      <w:marTop w:val="0"/>
                      <w:marBottom w:val="0"/>
                      <w:divBdr>
                        <w:top w:val="none" w:sz="0" w:space="0" w:color="auto"/>
                        <w:left w:val="none" w:sz="0" w:space="0" w:color="auto"/>
                        <w:bottom w:val="none" w:sz="0" w:space="0" w:color="auto"/>
                        <w:right w:val="none" w:sz="0" w:space="0" w:color="auto"/>
                      </w:divBdr>
                    </w:div>
                    <w:div w:id="1377776338">
                      <w:marLeft w:val="0"/>
                      <w:marRight w:val="0"/>
                      <w:marTop w:val="0"/>
                      <w:marBottom w:val="0"/>
                      <w:divBdr>
                        <w:top w:val="none" w:sz="0" w:space="0" w:color="auto"/>
                        <w:left w:val="none" w:sz="0" w:space="0" w:color="auto"/>
                        <w:bottom w:val="none" w:sz="0" w:space="0" w:color="auto"/>
                        <w:right w:val="none" w:sz="0" w:space="0" w:color="auto"/>
                      </w:divBdr>
                    </w:div>
                  </w:divsChild>
                </w:div>
                <w:div w:id="1633635759">
                  <w:marLeft w:val="0"/>
                  <w:marRight w:val="0"/>
                  <w:marTop w:val="0"/>
                  <w:marBottom w:val="0"/>
                  <w:divBdr>
                    <w:top w:val="none" w:sz="0" w:space="0" w:color="auto"/>
                    <w:left w:val="none" w:sz="0" w:space="0" w:color="auto"/>
                    <w:bottom w:val="none" w:sz="0" w:space="0" w:color="auto"/>
                    <w:right w:val="none" w:sz="0" w:space="0" w:color="auto"/>
                  </w:divBdr>
                  <w:divsChild>
                    <w:div w:id="729501073">
                      <w:marLeft w:val="0"/>
                      <w:marRight w:val="0"/>
                      <w:marTop w:val="0"/>
                      <w:marBottom w:val="0"/>
                      <w:divBdr>
                        <w:top w:val="none" w:sz="0" w:space="0" w:color="auto"/>
                        <w:left w:val="none" w:sz="0" w:space="0" w:color="auto"/>
                        <w:bottom w:val="none" w:sz="0" w:space="0" w:color="auto"/>
                        <w:right w:val="none" w:sz="0" w:space="0" w:color="auto"/>
                      </w:divBdr>
                    </w:div>
                    <w:div w:id="1771507347">
                      <w:marLeft w:val="0"/>
                      <w:marRight w:val="0"/>
                      <w:marTop w:val="0"/>
                      <w:marBottom w:val="0"/>
                      <w:divBdr>
                        <w:top w:val="none" w:sz="0" w:space="0" w:color="auto"/>
                        <w:left w:val="none" w:sz="0" w:space="0" w:color="auto"/>
                        <w:bottom w:val="none" w:sz="0" w:space="0" w:color="auto"/>
                        <w:right w:val="none" w:sz="0" w:space="0" w:color="auto"/>
                      </w:divBdr>
                    </w:div>
                  </w:divsChild>
                </w:div>
                <w:div w:id="1636180920">
                  <w:marLeft w:val="0"/>
                  <w:marRight w:val="0"/>
                  <w:marTop w:val="0"/>
                  <w:marBottom w:val="0"/>
                  <w:divBdr>
                    <w:top w:val="none" w:sz="0" w:space="0" w:color="auto"/>
                    <w:left w:val="none" w:sz="0" w:space="0" w:color="auto"/>
                    <w:bottom w:val="none" w:sz="0" w:space="0" w:color="auto"/>
                    <w:right w:val="none" w:sz="0" w:space="0" w:color="auto"/>
                  </w:divBdr>
                  <w:divsChild>
                    <w:div w:id="1650788849">
                      <w:marLeft w:val="0"/>
                      <w:marRight w:val="0"/>
                      <w:marTop w:val="0"/>
                      <w:marBottom w:val="0"/>
                      <w:divBdr>
                        <w:top w:val="none" w:sz="0" w:space="0" w:color="auto"/>
                        <w:left w:val="none" w:sz="0" w:space="0" w:color="auto"/>
                        <w:bottom w:val="none" w:sz="0" w:space="0" w:color="auto"/>
                        <w:right w:val="none" w:sz="0" w:space="0" w:color="auto"/>
                      </w:divBdr>
                    </w:div>
                    <w:div w:id="1817532164">
                      <w:marLeft w:val="0"/>
                      <w:marRight w:val="0"/>
                      <w:marTop w:val="0"/>
                      <w:marBottom w:val="0"/>
                      <w:divBdr>
                        <w:top w:val="none" w:sz="0" w:space="0" w:color="auto"/>
                        <w:left w:val="none" w:sz="0" w:space="0" w:color="auto"/>
                        <w:bottom w:val="none" w:sz="0" w:space="0" w:color="auto"/>
                        <w:right w:val="none" w:sz="0" w:space="0" w:color="auto"/>
                      </w:divBdr>
                    </w:div>
                  </w:divsChild>
                </w:div>
                <w:div w:id="1722557921">
                  <w:marLeft w:val="0"/>
                  <w:marRight w:val="0"/>
                  <w:marTop w:val="0"/>
                  <w:marBottom w:val="0"/>
                  <w:divBdr>
                    <w:top w:val="none" w:sz="0" w:space="0" w:color="auto"/>
                    <w:left w:val="none" w:sz="0" w:space="0" w:color="auto"/>
                    <w:bottom w:val="none" w:sz="0" w:space="0" w:color="auto"/>
                    <w:right w:val="none" w:sz="0" w:space="0" w:color="auto"/>
                  </w:divBdr>
                  <w:divsChild>
                    <w:div w:id="333921931">
                      <w:marLeft w:val="0"/>
                      <w:marRight w:val="0"/>
                      <w:marTop w:val="0"/>
                      <w:marBottom w:val="0"/>
                      <w:divBdr>
                        <w:top w:val="none" w:sz="0" w:space="0" w:color="auto"/>
                        <w:left w:val="none" w:sz="0" w:space="0" w:color="auto"/>
                        <w:bottom w:val="none" w:sz="0" w:space="0" w:color="auto"/>
                        <w:right w:val="none" w:sz="0" w:space="0" w:color="auto"/>
                      </w:divBdr>
                    </w:div>
                    <w:div w:id="169838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029161">
              <w:marLeft w:val="0"/>
              <w:marRight w:val="0"/>
              <w:marTop w:val="0"/>
              <w:marBottom w:val="0"/>
              <w:divBdr>
                <w:top w:val="none" w:sz="0" w:space="0" w:color="auto"/>
                <w:left w:val="none" w:sz="0" w:space="0" w:color="auto"/>
                <w:bottom w:val="none" w:sz="0" w:space="0" w:color="auto"/>
                <w:right w:val="none" w:sz="0" w:space="0" w:color="auto"/>
              </w:divBdr>
              <w:divsChild>
                <w:div w:id="621112342">
                  <w:marLeft w:val="0"/>
                  <w:marRight w:val="0"/>
                  <w:marTop w:val="0"/>
                  <w:marBottom w:val="0"/>
                  <w:divBdr>
                    <w:top w:val="none" w:sz="0" w:space="0" w:color="auto"/>
                    <w:left w:val="none" w:sz="0" w:space="0" w:color="auto"/>
                    <w:bottom w:val="none" w:sz="0" w:space="0" w:color="auto"/>
                    <w:right w:val="none" w:sz="0" w:space="0" w:color="auto"/>
                  </w:divBdr>
                  <w:divsChild>
                    <w:div w:id="1563250177">
                      <w:marLeft w:val="0"/>
                      <w:marRight w:val="0"/>
                      <w:marTop w:val="0"/>
                      <w:marBottom w:val="0"/>
                      <w:divBdr>
                        <w:top w:val="none" w:sz="0" w:space="0" w:color="auto"/>
                        <w:left w:val="none" w:sz="0" w:space="0" w:color="auto"/>
                        <w:bottom w:val="none" w:sz="0" w:space="0" w:color="auto"/>
                        <w:right w:val="none" w:sz="0" w:space="0" w:color="auto"/>
                      </w:divBdr>
                    </w:div>
                    <w:div w:id="1820611640">
                      <w:marLeft w:val="0"/>
                      <w:marRight w:val="0"/>
                      <w:marTop w:val="0"/>
                      <w:marBottom w:val="0"/>
                      <w:divBdr>
                        <w:top w:val="none" w:sz="0" w:space="0" w:color="auto"/>
                        <w:left w:val="none" w:sz="0" w:space="0" w:color="auto"/>
                        <w:bottom w:val="none" w:sz="0" w:space="0" w:color="auto"/>
                        <w:right w:val="none" w:sz="0" w:space="0" w:color="auto"/>
                      </w:divBdr>
                    </w:div>
                    <w:div w:id="1910923016">
                      <w:marLeft w:val="0"/>
                      <w:marRight w:val="0"/>
                      <w:marTop w:val="0"/>
                      <w:marBottom w:val="0"/>
                      <w:divBdr>
                        <w:top w:val="none" w:sz="0" w:space="0" w:color="auto"/>
                        <w:left w:val="none" w:sz="0" w:space="0" w:color="auto"/>
                        <w:bottom w:val="none" w:sz="0" w:space="0" w:color="auto"/>
                        <w:right w:val="none" w:sz="0" w:space="0" w:color="auto"/>
                      </w:divBdr>
                    </w:div>
                    <w:div w:id="2089618889">
                      <w:marLeft w:val="0"/>
                      <w:marRight w:val="0"/>
                      <w:marTop w:val="0"/>
                      <w:marBottom w:val="0"/>
                      <w:divBdr>
                        <w:top w:val="none" w:sz="0" w:space="0" w:color="auto"/>
                        <w:left w:val="none" w:sz="0" w:space="0" w:color="auto"/>
                        <w:bottom w:val="none" w:sz="0" w:space="0" w:color="auto"/>
                        <w:right w:val="none" w:sz="0" w:space="0" w:color="auto"/>
                      </w:divBdr>
                    </w:div>
                  </w:divsChild>
                </w:div>
                <w:div w:id="693505213">
                  <w:marLeft w:val="0"/>
                  <w:marRight w:val="0"/>
                  <w:marTop w:val="0"/>
                  <w:marBottom w:val="0"/>
                  <w:divBdr>
                    <w:top w:val="none" w:sz="0" w:space="0" w:color="auto"/>
                    <w:left w:val="none" w:sz="0" w:space="0" w:color="auto"/>
                    <w:bottom w:val="none" w:sz="0" w:space="0" w:color="auto"/>
                    <w:right w:val="none" w:sz="0" w:space="0" w:color="auto"/>
                  </w:divBdr>
                </w:div>
                <w:div w:id="1025013626">
                  <w:marLeft w:val="0"/>
                  <w:marRight w:val="0"/>
                  <w:marTop w:val="0"/>
                  <w:marBottom w:val="0"/>
                  <w:divBdr>
                    <w:top w:val="none" w:sz="0" w:space="0" w:color="auto"/>
                    <w:left w:val="none" w:sz="0" w:space="0" w:color="auto"/>
                    <w:bottom w:val="none" w:sz="0" w:space="0" w:color="auto"/>
                    <w:right w:val="none" w:sz="0" w:space="0" w:color="auto"/>
                  </w:divBdr>
                  <w:divsChild>
                    <w:div w:id="5834661">
                      <w:marLeft w:val="0"/>
                      <w:marRight w:val="0"/>
                      <w:marTop w:val="0"/>
                      <w:marBottom w:val="0"/>
                      <w:divBdr>
                        <w:top w:val="none" w:sz="0" w:space="0" w:color="auto"/>
                        <w:left w:val="none" w:sz="0" w:space="0" w:color="auto"/>
                        <w:bottom w:val="none" w:sz="0" w:space="0" w:color="auto"/>
                        <w:right w:val="none" w:sz="0" w:space="0" w:color="auto"/>
                      </w:divBdr>
                    </w:div>
                    <w:div w:id="1029113266">
                      <w:marLeft w:val="0"/>
                      <w:marRight w:val="0"/>
                      <w:marTop w:val="0"/>
                      <w:marBottom w:val="0"/>
                      <w:divBdr>
                        <w:top w:val="none" w:sz="0" w:space="0" w:color="auto"/>
                        <w:left w:val="none" w:sz="0" w:space="0" w:color="auto"/>
                        <w:bottom w:val="none" w:sz="0" w:space="0" w:color="auto"/>
                        <w:right w:val="none" w:sz="0" w:space="0" w:color="auto"/>
                      </w:divBdr>
                    </w:div>
                    <w:div w:id="1607301625">
                      <w:marLeft w:val="0"/>
                      <w:marRight w:val="0"/>
                      <w:marTop w:val="0"/>
                      <w:marBottom w:val="0"/>
                      <w:divBdr>
                        <w:top w:val="none" w:sz="0" w:space="0" w:color="auto"/>
                        <w:left w:val="none" w:sz="0" w:space="0" w:color="auto"/>
                        <w:bottom w:val="none" w:sz="0" w:space="0" w:color="auto"/>
                        <w:right w:val="none" w:sz="0" w:space="0" w:color="auto"/>
                      </w:divBdr>
                    </w:div>
                    <w:div w:id="1633827268">
                      <w:marLeft w:val="0"/>
                      <w:marRight w:val="0"/>
                      <w:marTop w:val="0"/>
                      <w:marBottom w:val="0"/>
                      <w:divBdr>
                        <w:top w:val="none" w:sz="0" w:space="0" w:color="auto"/>
                        <w:left w:val="none" w:sz="0" w:space="0" w:color="auto"/>
                        <w:bottom w:val="none" w:sz="0" w:space="0" w:color="auto"/>
                        <w:right w:val="none" w:sz="0" w:space="0" w:color="auto"/>
                      </w:divBdr>
                    </w:div>
                  </w:divsChild>
                </w:div>
                <w:div w:id="1339692421">
                  <w:marLeft w:val="0"/>
                  <w:marRight w:val="0"/>
                  <w:marTop w:val="0"/>
                  <w:marBottom w:val="0"/>
                  <w:divBdr>
                    <w:top w:val="single" w:sz="6" w:space="3" w:color="999999"/>
                    <w:left w:val="none" w:sz="0" w:space="0" w:color="auto"/>
                    <w:bottom w:val="none" w:sz="0" w:space="0" w:color="auto"/>
                    <w:right w:val="none" w:sz="0" w:space="0" w:color="auto"/>
                  </w:divBdr>
                  <w:divsChild>
                    <w:div w:id="816339903">
                      <w:marLeft w:val="0"/>
                      <w:marRight w:val="0"/>
                      <w:marTop w:val="0"/>
                      <w:marBottom w:val="0"/>
                      <w:divBdr>
                        <w:top w:val="none" w:sz="0" w:space="0" w:color="auto"/>
                        <w:left w:val="none" w:sz="0" w:space="0" w:color="auto"/>
                        <w:bottom w:val="single" w:sz="6" w:space="0" w:color="999999"/>
                        <w:right w:val="none" w:sz="0" w:space="0" w:color="auto"/>
                      </w:divBdr>
                    </w:div>
                  </w:divsChild>
                </w:div>
                <w:div w:id="1454666684">
                  <w:marLeft w:val="0"/>
                  <w:marRight w:val="0"/>
                  <w:marTop w:val="0"/>
                  <w:marBottom w:val="0"/>
                  <w:divBdr>
                    <w:top w:val="none" w:sz="0" w:space="0" w:color="auto"/>
                    <w:left w:val="none" w:sz="0" w:space="0" w:color="auto"/>
                    <w:bottom w:val="none" w:sz="0" w:space="0" w:color="auto"/>
                    <w:right w:val="none" w:sz="0" w:space="0" w:color="auto"/>
                  </w:divBdr>
                </w:div>
                <w:div w:id="1548643377">
                  <w:marLeft w:val="0"/>
                  <w:marRight w:val="0"/>
                  <w:marTop w:val="0"/>
                  <w:marBottom w:val="0"/>
                  <w:divBdr>
                    <w:top w:val="none" w:sz="0" w:space="0" w:color="auto"/>
                    <w:left w:val="none" w:sz="0" w:space="0" w:color="auto"/>
                    <w:bottom w:val="none" w:sz="0" w:space="0" w:color="auto"/>
                    <w:right w:val="none" w:sz="0" w:space="0" w:color="auto"/>
                  </w:divBdr>
                  <w:divsChild>
                    <w:div w:id="108445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06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4500">
      <w:bodyDiv w:val="1"/>
      <w:marLeft w:val="0"/>
      <w:marRight w:val="0"/>
      <w:marTop w:val="0"/>
      <w:marBottom w:val="0"/>
      <w:divBdr>
        <w:top w:val="none" w:sz="0" w:space="0" w:color="auto"/>
        <w:left w:val="none" w:sz="0" w:space="0" w:color="auto"/>
        <w:bottom w:val="none" w:sz="0" w:space="0" w:color="auto"/>
        <w:right w:val="none" w:sz="0" w:space="0" w:color="auto"/>
      </w:divBdr>
    </w:div>
    <w:div w:id="1386488196">
      <w:bodyDiv w:val="1"/>
      <w:marLeft w:val="0"/>
      <w:marRight w:val="0"/>
      <w:marTop w:val="0"/>
      <w:marBottom w:val="0"/>
      <w:divBdr>
        <w:top w:val="none" w:sz="0" w:space="0" w:color="auto"/>
        <w:left w:val="none" w:sz="0" w:space="0" w:color="auto"/>
        <w:bottom w:val="none" w:sz="0" w:space="0" w:color="auto"/>
        <w:right w:val="none" w:sz="0" w:space="0" w:color="auto"/>
      </w:divBdr>
    </w:div>
    <w:div w:id="1550067375">
      <w:bodyDiv w:val="1"/>
      <w:marLeft w:val="0"/>
      <w:marRight w:val="0"/>
      <w:marTop w:val="0"/>
      <w:marBottom w:val="0"/>
      <w:divBdr>
        <w:top w:val="none" w:sz="0" w:space="0" w:color="auto"/>
        <w:left w:val="none" w:sz="0" w:space="0" w:color="auto"/>
        <w:bottom w:val="none" w:sz="0" w:space="0" w:color="auto"/>
        <w:right w:val="none" w:sz="0" w:space="0" w:color="auto"/>
      </w:divBdr>
    </w:div>
    <w:div w:id="1797798337">
      <w:bodyDiv w:val="1"/>
      <w:marLeft w:val="0"/>
      <w:marRight w:val="0"/>
      <w:marTop w:val="0"/>
      <w:marBottom w:val="0"/>
      <w:divBdr>
        <w:top w:val="none" w:sz="0" w:space="0" w:color="auto"/>
        <w:left w:val="none" w:sz="0" w:space="0" w:color="auto"/>
        <w:bottom w:val="none" w:sz="0" w:space="0" w:color="auto"/>
        <w:right w:val="none" w:sz="0" w:space="0" w:color="auto"/>
      </w:divBdr>
    </w:div>
    <w:div w:id="20139946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1.png"/><Relationship Id="rId34" Type="http://schemas.openxmlformats.org/officeDocument/2006/relationships/image" Target="media/image14.png"/><Relationship Id="rId42" Type="http://schemas.openxmlformats.org/officeDocument/2006/relationships/hyperlink" Target="https://www.sciencedirect.com/science/article/pii/S0921452618307804" TargetMode="External"/><Relationship Id="rId47" Type="http://schemas.openxmlformats.org/officeDocument/2006/relationships/image" Target="media/image25.png"/><Relationship Id="rId50" Type="http://schemas.openxmlformats.org/officeDocument/2006/relationships/hyperlink" Target="https://chess.esss.lu.se/enovia/link/ESS-0122343/21308.51166.41473.4993/valid" TargetMode="External"/><Relationship Id="rId55" Type="http://schemas.openxmlformats.org/officeDocument/2006/relationships/hyperlink" Target="https://chess.esss.lu.se/enovia/link/ESS-5690504/21308.51166.64779.34988/valid"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chess.esss.lu.se/enovia/link/ESS-5637422/21308.51166.22109.9650/valid" TargetMode="External"/><Relationship Id="rId29" Type="http://schemas.openxmlformats.org/officeDocument/2006/relationships/image" Target="media/image9.png"/><Relationship Id="rId11" Type="http://schemas.openxmlformats.org/officeDocument/2006/relationships/hyperlink" Target="https://chess.esss.lu.se/enovia/link/ESS-5690168/21308.51166.37374.20992/valid" TargetMode="Externa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hyperlink" Target="https://chess.esss.lu.se/enovia/link/ESS-2727570/21308.51166.36352.18682/valid" TargetMode="External"/><Relationship Id="rId58" Type="http://schemas.openxmlformats.org/officeDocument/2006/relationships/hyperlink" Target="https://chess.esss.lu.se/enovia/link/ESS-5637422/21308.51166.22109.9650/valid" TargetMode="External"/><Relationship Id="rId5" Type="http://schemas.openxmlformats.org/officeDocument/2006/relationships/settings" Target="settings.xml"/><Relationship Id="rId61" Type="http://schemas.openxmlformats.org/officeDocument/2006/relationships/footer" Target="footer1.xml"/><Relationship Id="rId19" Type="http://schemas.openxmlformats.org/officeDocument/2006/relationships/hyperlink" Target="https://chess.esss.lu.se/enovia/link/ESS-5690169/21308.51166.28118.39806/valid" TargetMode="External"/><Relationship Id="rId14" Type="http://schemas.openxmlformats.org/officeDocument/2006/relationships/hyperlink" Target="javascript:l('4032974290954',0,0)" TargetMode="External"/><Relationship Id="rId22" Type="http://schemas.openxmlformats.org/officeDocument/2006/relationships/image" Target="media/image2.sv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s://chess.esss.lu.se/enovia/tvc-action/forwardToDocumentReference?source=21308.51166.58880.28342&amp;to=ESS-0177447" TargetMode="External"/><Relationship Id="rId56" Type="http://schemas.openxmlformats.org/officeDocument/2006/relationships/hyperlink" Target="https://chess.esss.lu.se/enovia/link/ESS-5690168/21308.51166.37374.20992/valid" TargetMode="External"/><Relationship Id="rId64"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s://chess.esss.lu.se/enovia/link/ESS-1138675/21308.51166.21454.41585/valid" TargetMode="External"/><Relationship Id="rId3" Type="http://schemas.openxmlformats.org/officeDocument/2006/relationships/numbering" Target="numbering.xml"/><Relationship Id="rId12" Type="http://schemas.openxmlformats.org/officeDocument/2006/relationships/hyperlink" Target="https://chess.esss.lu.se/enovia/link/ESS-5690169/21308.51166.28118.39806/valid" TargetMode="External"/><Relationship Id="rId17" Type="http://schemas.openxmlformats.org/officeDocument/2006/relationships/hyperlink" Target="javascript:l('4473208438785',0,0)"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journals.aps.org/prb/abstract/10.1103/PhysRevB.105.214406" TargetMode="External"/><Relationship Id="rId59" Type="http://schemas.openxmlformats.org/officeDocument/2006/relationships/header" Target="header1.xml"/><Relationship Id="rId20" Type="http://schemas.openxmlformats.org/officeDocument/2006/relationships/hyperlink" Target="https://chess.esss.lu.se/enovia/link/ESS-5690169/21308.51166.28118.39806/valid" TargetMode="External"/><Relationship Id="rId41" Type="http://schemas.openxmlformats.org/officeDocument/2006/relationships/image" Target="media/image21.png"/><Relationship Id="rId54" Type="http://schemas.openxmlformats.org/officeDocument/2006/relationships/hyperlink" Target="https://chess.esss.lu.se/enovia/link/ESS-2495661/21308.51166.2560.63782/valid"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javascript:l('4473208438785',0,0)"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chess.esss.lu.se/enovia/link/ESS-0135232/21308.51166.13568.44208/valid" TargetMode="External"/><Relationship Id="rId57" Type="http://schemas.openxmlformats.org/officeDocument/2006/relationships/hyperlink" Target="https://chess.esss.lu.se/enovia/link/ESS-5690169/21308.51166.28118.39806/valid" TargetMode="External"/><Relationship Id="rId10" Type="http://schemas.openxmlformats.org/officeDocument/2006/relationships/hyperlink" Target="https://chess.esss.lu.se/enovia/link/ESS-5690168/21308.51166.37374.20992/valid"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hyperlink" Target="https://chess.esss.lu.se/enovia/link/ESS-1417912/21308.51166.54529.1887/valid"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chess.esss.lu.se/enovia/link/ESS-5690504/21308.51166.64779.34988/valid" TargetMode="External"/><Relationship Id="rId13" Type="http://schemas.openxmlformats.org/officeDocument/2006/relationships/hyperlink" Target="https://chess.esss.lu.se/enovia/link/ESS-5690169/21308.51166.28118.39806/valid" TargetMode="External"/><Relationship Id="rId18" Type="http://schemas.openxmlformats.org/officeDocument/2006/relationships/hyperlink" Target="https://chess.esss.lu.se/enovia/link/ESS-5637422/21308.51166.22109.9650/valid" TargetMode="External"/><Relationship Id="rId39"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2D085A4FDC6F34F91455164671D163E"/>
        <w:category>
          <w:name w:val="General"/>
          <w:gallery w:val="placeholder"/>
        </w:category>
        <w:types>
          <w:type w:val="bbPlcHdr"/>
        </w:types>
        <w:behaviors>
          <w:behavior w:val="content"/>
        </w:behaviors>
        <w:guid w:val="{D5EFD2B2-DFFC-4142-910B-B8049F6299D4}"/>
      </w:docPartPr>
      <w:docPartBody>
        <w:p w:rsidR="00D63A75" w:rsidRDefault="00D53D39">
          <w:pPr>
            <w:pStyle w:val="22D085A4FDC6F34F91455164671D163E"/>
          </w:pPr>
          <w:r>
            <w:t>[Type text]</w:t>
          </w:r>
        </w:p>
      </w:docPartBody>
    </w:docPart>
    <w:docPart>
      <w:docPartPr>
        <w:name w:val="DA42A3D4BE36F14E923F7E84C0B447E9"/>
        <w:category>
          <w:name w:val="General"/>
          <w:gallery w:val="placeholder"/>
        </w:category>
        <w:types>
          <w:type w:val="bbPlcHdr"/>
        </w:types>
        <w:behaviors>
          <w:behavior w:val="content"/>
        </w:behaviors>
        <w:guid w:val="{A74F467F-AA7B-D94E-89B0-CCACEC6870A3}"/>
      </w:docPartPr>
      <w:docPartBody>
        <w:p w:rsidR="00D63A75" w:rsidRDefault="00D53D39">
          <w:pPr>
            <w:pStyle w:val="DA42A3D4BE36F14E923F7E84C0B447E9"/>
          </w:pPr>
          <w:r>
            <w:t>[Type text]</w:t>
          </w:r>
        </w:p>
      </w:docPartBody>
    </w:docPart>
    <w:docPart>
      <w:docPartPr>
        <w:name w:val="39ED1B5F1F006243A0770C73F4D7150C"/>
        <w:category>
          <w:name w:val="General"/>
          <w:gallery w:val="placeholder"/>
        </w:category>
        <w:types>
          <w:type w:val="bbPlcHdr"/>
        </w:types>
        <w:behaviors>
          <w:behavior w:val="content"/>
        </w:behaviors>
        <w:guid w:val="{99BA8006-BB80-E544-92FF-42F86EFE208F}"/>
      </w:docPartPr>
      <w:docPartBody>
        <w:p w:rsidR="00D63A75" w:rsidRDefault="00D53D39">
          <w:pPr>
            <w:pStyle w:val="39ED1B5F1F006243A0770C73F4D7150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charset w:val="00"/>
    <w:family w:val="roman"/>
    <w:pitch w:val="variable"/>
    <w:sig w:usb0="E0002AE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D39"/>
    <w:rsid w:val="00010F5E"/>
    <w:rsid w:val="000774EC"/>
    <w:rsid w:val="00166AB9"/>
    <w:rsid w:val="001721FF"/>
    <w:rsid w:val="00177C4D"/>
    <w:rsid w:val="001851FF"/>
    <w:rsid w:val="001A45BB"/>
    <w:rsid w:val="00233B6D"/>
    <w:rsid w:val="002A3AAD"/>
    <w:rsid w:val="00325C45"/>
    <w:rsid w:val="003606C8"/>
    <w:rsid w:val="0043012B"/>
    <w:rsid w:val="0043283F"/>
    <w:rsid w:val="00515D06"/>
    <w:rsid w:val="005F49B4"/>
    <w:rsid w:val="00623C29"/>
    <w:rsid w:val="006E437F"/>
    <w:rsid w:val="007529D2"/>
    <w:rsid w:val="00756914"/>
    <w:rsid w:val="00766848"/>
    <w:rsid w:val="007C1431"/>
    <w:rsid w:val="007C2883"/>
    <w:rsid w:val="007E5246"/>
    <w:rsid w:val="008C3D33"/>
    <w:rsid w:val="00930DB0"/>
    <w:rsid w:val="00942FBB"/>
    <w:rsid w:val="00991205"/>
    <w:rsid w:val="009C01DF"/>
    <w:rsid w:val="00A0515F"/>
    <w:rsid w:val="00A4508C"/>
    <w:rsid w:val="00A46D01"/>
    <w:rsid w:val="00A6276D"/>
    <w:rsid w:val="00A96F08"/>
    <w:rsid w:val="00AB42D4"/>
    <w:rsid w:val="00BF6BB2"/>
    <w:rsid w:val="00C9405A"/>
    <w:rsid w:val="00CB33CA"/>
    <w:rsid w:val="00CD0E78"/>
    <w:rsid w:val="00CF2B74"/>
    <w:rsid w:val="00D24ECC"/>
    <w:rsid w:val="00D53D39"/>
    <w:rsid w:val="00D63A75"/>
    <w:rsid w:val="00D65808"/>
    <w:rsid w:val="00DB5781"/>
    <w:rsid w:val="00DF5858"/>
    <w:rsid w:val="00EB1933"/>
    <w:rsid w:val="00ED04F2"/>
    <w:rsid w:val="00EE6740"/>
    <w:rsid w:val="00F61539"/>
    <w:rsid w:val="00F616BE"/>
    <w:rsid w:val="00FC4D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D085A4FDC6F34F91455164671D163E">
    <w:name w:val="22D085A4FDC6F34F91455164671D163E"/>
  </w:style>
  <w:style w:type="paragraph" w:customStyle="1" w:styleId="DA42A3D4BE36F14E923F7E84C0B447E9">
    <w:name w:val="DA42A3D4BE36F14E923F7E84C0B447E9"/>
  </w:style>
  <w:style w:type="paragraph" w:customStyle="1" w:styleId="39ED1B5F1F006243A0770C73F4D7150C">
    <w:name w:val="39ED1B5F1F006243A0770C73F4D71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2.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0AD53297-1E13-4D0C-ABDB-CA1557A40B7B}">
  <ds:schemaRefs>
    <ds:schemaRef ds:uri="http://schemas.microsoft.com/office/2006/customDocumentInformationPanel"/>
  </ds:schemaRefs>
</ds:datastoreItem>
</file>

<file path=customXml/itemProps2.xml><?xml version="1.0" encoding="utf-8"?>
<ds:datastoreItem xmlns:ds="http://schemas.openxmlformats.org/officeDocument/2006/customXml" ds:itemID="{602EAEFD-0B25-470A-A74A-2FD3DDE3A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TotalTime>
  <Pages>35</Pages>
  <Words>9340</Words>
  <Characters>56978</Characters>
  <Application>Microsoft Office Word</Application>
  <DocSecurity>0</DocSecurity>
  <Lines>474</Lines>
  <Paragraphs>132</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Manager/>
  <Company>European Spallation Source ERIC</Company>
  <LinksUpToDate>false</LinksUpToDate>
  <CharactersWithSpaces>66186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Tillman</dc:creator>
  <cp:keywords/>
  <dc:description/>
  <cp:lastModifiedBy>Rasmus Toft-Petersen</cp:lastModifiedBy>
  <cp:revision>3</cp:revision>
  <cp:lastPrinted>2020-01-22T09:28:00Z</cp:lastPrinted>
  <dcterms:created xsi:type="dcterms:W3CDTF">2025-06-04T17:14:00Z</dcterms:created>
  <dcterms:modified xsi:type="dcterms:W3CDTF">2025-08-12T12:58:00Z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pWatermark">
    <vt:lpwstr>help</vt:lpwstr>
  </property>
  <property fmtid="{D5CDD505-2E9C-101B-9397-08002B2CF9AE}" pid="3" name="MXActual_state_Preliminary">
    <vt:lpwstr>Apr 23, 2025</vt:lpwstr>
  </property>
  <property fmtid="{D5CDD505-2E9C-101B-9397-08002B2CF9AE}" pid="4" name="MXActual_state_Released">
    <vt:lpwstr>N/A</vt:lpwstr>
  </property>
  <property fmtid="{D5CDD505-2E9C-101B-9397-08002B2CF9AE}" pid="5" name="MXCurrent.Localized">
    <vt:lpwstr>Preliminary</vt:lpwstr>
  </property>
  <property fmtid="{D5CDD505-2E9C-101B-9397-08002B2CF9AE}" pid="6" name="MXEmail">
    <vt:lpwstr>rasmus.toft-petersen@ess.eu</vt:lpwstr>
  </property>
  <property fmtid="{D5CDD505-2E9C-101B-9397-08002B2CF9AE}" pid="7" name="MXFirstName">
    <vt:lpwstr>Rasmus</vt:lpwstr>
  </property>
  <property fmtid="{D5CDD505-2E9C-101B-9397-08002B2CF9AE}" pid="8" name="MXLastName">
    <vt:lpwstr>Toft-Petersen</vt:lpwstr>
  </property>
  <property fmtid="{D5CDD505-2E9C-101B-9397-08002B2CF9AE}" pid="9" name="MXMiddleName">
    <vt:lpwstr>Unknown</vt:lpwstr>
  </property>
  <property fmtid="{D5CDD505-2E9C-101B-9397-08002B2CF9AE}" pid="10" name="MXPolicy.Localized">
    <vt:lpwstr>Controlled Document</vt:lpwstr>
  </property>
  <property fmtid="{D5CDD505-2E9C-101B-9397-08002B2CF9AE}" pid="11" name="MXSignatures_state_Preliminary">
    <vt:lpwstr/>
  </property>
  <property fmtid="{D5CDD505-2E9C-101B-9397-08002B2CF9AE}" pid="12" name="MXSignatures_state_Released">
    <vt:lpwstr/>
  </property>
  <property fmtid="{D5CDD505-2E9C-101B-9397-08002B2CF9AE}" pid="13" name="MXTVA DTM Allowed Groups">
    <vt:lpwstr/>
  </property>
  <property fmtid="{D5CDD505-2E9C-101B-9397-08002B2CF9AE}" pid="14" name="MXTVA DTM Allowed Roles">
    <vt:lpwstr/>
  </property>
  <property fmtid="{D5CDD505-2E9C-101B-9397-08002B2CF9AE}" pid="15" name="MXTVA DTM Template Access">
    <vt:lpwstr/>
  </property>
  <property fmtid="{D5CDD505-2E9C-101B-9397-08002B2CF9AE}" pid="16" name="MXTVA DTM Template Visable">
    <vt:lpwstr>Yes</vt:lpwstr>
  </property>
  <property fmtid="{D5CDD505-2E9C-101B-9397-08002B2CF9AE}" pid="17" name="MXUser">
    <vt:lpwstr>rasmustoftpetersen</vt:lpwstr>
  </property>
  <property fmtid="{D5CDD505-2E9C-101B-9397-08002B2CF9AE}" pid="18" name="prpGSDName">
    <vt:lpwstr>Chess Controlled Core Word</vt:lpwstr>
  </property>
  <property fmtid="{D5CDD505-2E9C-101B-9397-08002B2CF9AE}" pid="19" name="prpGSDNo">
    <vt:lpwstr>2</vt:lpwstr>
  </property>
  <property fmtid="{D5CDD505-2E9C-101B-9397-08002B2CF9AE}" pid="20" name="prpVersion">
    <vt:lpwstr>Template Active Date: 18 Sep 2015</vt:lpwstr>
  </property>
  <property fmtid="{D5CDD505-2E9C-101B-9397-08002B2CF9AE}" pid="21" name="MXActual_state_Obsolete">
    <vt:lpwstr>N/A</vt:lpwstr>
  </property>
  <property fmtid="{D5CDD505-2E9C-101B-9397-08002B2CF9AE}" pid="22" name="MXSignatures_state_Obsolete">
    <vt:lpwstr/>
  </property>
  <property fmtid="{D5CDD505-2E9C-101B-9397-08002B2CF9AE}" pid="23" name="MXActual_state_Review">
    <vt:lpwstr>N/A</vt:lpwstr>
  </property>
  <property fmtid="{D5CDD505-2E9C-101B-9397-08002B2CF9AE}" pid="24" name="MXSignatures_state_Review">
    <vt:lpwstr/>
  </property>
  <property fmtid="{D5CDD505-2E9C-101B-9397-08002B2CF9AE}" pid="25" name="MXActual_state_Release">
    <vt:lpwstr>N/A</vt:lpwstr>
  </property>
  <property fmtid="{D5CDD505-2E9C-101B-9397-08002B2CF9AE}" pid="26" name="MXSignatures_state_Release">
    <vt:lpwstr/>
  </property>
  <property fmtid="{D5CDD505-2E9C-101B-9397-08002B2CF9AE}" pid="27" name="MXAccess Type">
    <vt:lpwstr>Inherited</vt:lpwstr>
  </property>
  <property fmtid="{D5CDD505-2E9C-101B-9397-08002B2CF9AE}" pid="28" name="MXActiveVersion">
    <vt:lpwstr>1</vt:lpwstr>
  </property>
  <property fmtid="{D5CDD505-2E9C-101B-9397-08002B2CF9AE}" pid="29" name="MXApprover">
    <vt:lpwstr/>
  </property>
  <property fmtid="{D5CDD505-2E9C-101B-9397-08002B2CF9AE}" pid="30" name="MXAuthor">
    <vt:lpwstr>Rasmus Toft-Petersen</vt:lpwstr>
  </property>
  <property fmtid="{D5CDD505-2E9C-101B-9397-08002B2CF9AE}" pid="31" name="MXCheckin Reason">
    <vt:lpwstr/>
  </property>
  <property fmtid="{D5CDD505-2E9C-101B-9397-08002B2CF9AE}" pid="32" name="MXConfidentiality">
    <vt:lpwstr>Internal</vt:lpwstr>
  </property>
  <property fmtid="{D5CDD505-2E9C-101B-9397-08002B2CF9AE}" pid="33" name="MXCurrent">
    <vt:lpwstr>Preliminary</vt:lpwstr>
  </property>
  <property fmtid="{D5CDD505-2E9C-101B-9397-08002B2CF9AE}" pid="34" name="MXDescription">
    <vt:lpwstr/>
  </property>
  <property fmtid="{D5CDD505-2E9C-101B-9397-08002B2CF9AE}" pid="35" name="MXDesignated User">
    <vt:lpwstr>Unassigned</vt:lpwstr>
  </property>
  <property fmtid="{D5CDD505-2E9C-101B-9397-08002B2CF9AE}" pid="36" name="MXIs Version Object">
    <vt:lpwstr>False</vt:lpwstr>
  </property>
  <property fmtid="{D5CDD505-2E9C-101B-9397-08002B2CF9AE}" pid="37" name="MXLanguage">
    <vt:lpwstr>English</vt:lpwstr>
  </property>
  <property fmtid="{D5CDD505-2E9C-101B-9397-08002B2CF9AE}" pid="38" name="MXLatestVersion">
    <vt:lpwstr>1</vt:lpwstr>
  </property>
  <property fmtid="{D5CDD505-2E9C-101B-9397-08002B2CF9AE}" pid="39" name="MXLegacy Id">
    <vt:lpwstr/>
  </property>
  <property fmtid="{D5CDD505-2E9C-101B-9397-08002B2CF9AE}" pid="40" name="MXLink">
    <vt:lpwstr/>
  </property>
  <property fmtid="{D5CDD505-2E9C-101B-9397-08002B2CF9AE}" pid="41" name="MXMove Files To Version">
    <vt:lpwstr>False</vt:lpwstr>
  </property>
  <property fmtid="{D5CDD505-2E9C-101B-9397-08002B2CF9AE}" pid="42" name="MXName">
    <vt:lpwstr>ESS-5685109</vt:lpwstr>
  </property>
  <property fmtid="{D5CDD505-2E9C-101B-9397-08002B2CF9AE}" pid="43" name="MXOriginator">
    <vt:lpwstr>rasmustoftpetersen</vt:lpwstr>
  </property>
  <property fmtid="{D5CDD505-2E9C-101B-9397-08002B2CF9AE}" pid="44" name="MXPolicy">
    <vt:lpwstr>Controlled Document</vt:lpwstr>
  </property>
  <property fmtid="{D5CDD505-2E9C-101B-9397-08002B2CF9AE}" pid="45" name="MXPrinted Date">
    <vt:lpwstr>Apr 23, 2025</vt:lpwstr>
  </property>
  <property fmtid="{D5CDD505-2E9C-101B-9397-08002B2CF9AE}" pid="46" name="MXPrinted Version">
    <vt:lpwstr>(1/1)</vt:lpwstr>
  </property>
  <property fmtid="{D5CDD505-2E9C-101B-9397-08002B2CF9AE}" pid="47" name="MXReference">
    <vt:lpwstr/>
  </property>
  <property fmtid="{D5CDD505-2E9C-101B-9397-08002B2CF9AE}" pid="48" name="MXRev">
    <vt:lpwstr>1</vt:lpwstr>
  </property>
  <property fmtid="{D5CDD505-2E9C-101B-9397-08002B2CF9AE}" pid="49" name="MXRevision">
    <vt:lpwstr>1</vt:lpwstr>
  </property>
  <property fmtid="{D5CDD505-2E9C-101B-9397-08002B2CF9AE}" pid="50" name="MXSubmitter">
    <vt:lpwstr>Rasmus Toft-Petersen</vt:lpwstr>
  </property>
  <property fmtid="{D5CDD505-2E9C-101B-9397-08002B2CF9AE}" pid="51" name="MXSuspend Versioning">
    <vt:lpwstr>False</vt:lpwstr>
  </property>
  <property fmtid="{D5CDD505-2E9C-101B-9397-08002B2CF9AE}" pid="52" name="MXTVADummy1">
    <vt:lpwstr/>
  </property>
  <property fmtid="{D5CDD505-2E9C-101B-9397-08002B2CF9AE}" pid="53" name="MXTVADummy2">
    <vt:lpwstr/>
  </property>
  <property fmtid="{D5CDD505-2E9C-101B-9397-08002B2CF9AE}" pid="54" name="MXTVADummy3">
    <vt:lpwstr/>
  </property>
  <property fmtid="{D5CDD505-2E9C-101B-9397-08002B2CF9AE}" pid="55" name="MXTemplateName">
    <vt:lpwstr>ESS-1079725</vt:lpwstr>
  </property>
  <property fmtid="{D5CDD505-2E9C-101B-9397-08002B2CF9AE}" pid="56" name="MXTemplateReleaseDate">
    <vt:lpwstr>May 12, 2023</vt:lpwstr>
  </property>
  <property fmtid="{D5CDD505-2E9C-101B-9397-08002B2CF9AE}" pid="57" name="MXTemplateRev">
    <vt:lpwstr>3</vt:lpwstr>
  </property>
  <property fmtid="{D5CDD505-2E9C-101B-9397-08002B2CF9AE}" pid="58" name="MXTemplateTitle">
    <vt:lpwstr>Validation of Shielding</vt:lpwstr>
  </property>
  <property fmtid="{D5CDD505-2E9C-101B-9397-08002B2CF9AE}" pid="59" name="MXTitle">
    <vt:lpwstr>BIFROST - System Verification &amp; Validation Plan</vt:lpwstr>
  </property>
  <property fmtid="{D5CDD505-2E9C-101B-9397-08002B2CF9AE}" pid="60" name="MXType">
    <vt:lpwstr>dmg_ValidationPlan</vt:lpwstr>
  </property>
  <property fmtid="{D5CDD505-2E9C-101B-9397-08002B2CF9AE}" pid="61" name="MXType.Localized">
    <vt:lpwstr>Validation Plan</vt:lpwstr>
  </property>
  <property fmtid="{D5CDD505-2E9C-101B-9397-08002B2CF9AE}" pid="62" name="MXVersion">
    <vt:lpwstr>1</vt:lpwstr>
  </property>
  <property fmtid="{D5CDD505-2E9C-101B-9397-08002B2CF9AE}" pid="63" name="MXclau">
    <vt:lpwstr>False</vt:lpwstr>
  </property>
  <property fmtid="{D5CDD505-2E9C-101B-9397-08002B2CF9AE}" pid="64" name="MXcon_AccommodationCap">
    <vt:lpwstr/>
  </property>
  <property fmtid="{D5CDD505-2E9C-101B-9397-08002B2CF9AE}" pid="65" name="MXcon_AccommodationCost">
    <vt:lpwstr>False</vt:lpwstr>
  </property>
  <property fmtid="{D5CDD505-2E9C-101B-9397-08002B2CF9AE}" pid="66" name="MXcon_AdditionalSpecialConditions">
    <vt:lpwstr/>
  </property>
  <property fmtid="{D5CDD505-2E9C-101B-9397-08002B2CF9AE}" pid="67" name="MXcon_ApprovedByLineManager">
    <vt:lpwstr>False</vt:lpwstr>
  </property>
  <property fmtid="{D5CDD505-2E9C-101B-9397-08002B2CF9AE}" pid="68" name="MXcon_BackgroundInformation">
    <vt:lpwstr/>
  </property>
  <property fmtid="{D5CDD505-2E9C-101B-9397-08002B2CF9AE}" pid="69" name="MXcon_CallOffFromFrameworkAgreement">
    <vt:lpwstr>False</vt:lpwstr>
  </property>
  <property fmtid="{D5CDD505-2E9C-101B-9397-08002B2CF9AE}" pid="70" name="MXcon_CeilingPrice">
    <vt:lpwstr/>
  </property>
  <property fmtid="{D5CDD505-2E9C-101B-9397-08002B2CF9AE}" pid="71" name="MXcon_CompanyAddress">
    <vt:lpwstr/>
  </property>
  <property fmtid="{D5CDD505-2E9C-101B-9397-08002B2CF9AE}" pid="72" name="MXcon_CompanyRegistrationNumber">
    <vt:lpwstr/>
  </property>
  <property fmtid="{D5CDD505-2E9C-101B-9397-08002B2CF9AE}" pid="73" name="MXcon_CompanyType">
    <vt:lpwstr>Limited Liability company</vt:lpwstr>
  </property>
  <property fmtid="{D5CDD505-2E9C-101B-9397-08002B2CF9AE}" pid="74" name="MXcon_ConflictOfInterestOrPersonalRelationToCounterpart">
    <vt:lpwstr>False</vt:lpwstr>
  </property>
  <property fmtid="{D5CDD505-2E9C-101B-9397-08002B2CF9AE}" pid="75" name="MXcon_ConflictOrInterest">
    <vt:lpwstr/>
  </property>
  <property fmtid="{D5CDD505-2E9C-101B-9397-08002B2CF9AE}" pid="76" name="MXcon_Country">
    <vt:lpwstr>Sweden</vt:lpwstr>
  </property>
  <property fmtid="{D5CDD505-2E9C-101B-9397-08002B2CF9AE}" pid="77" name="MXcon_Currency">
    <vt:lpwstr>SEK</vt:lpwstr>
  </property>
  <property fmtid="{D5CDD505-2E9C-101B-9397-08002B2CF9AE}" pid="78" name="MXcon_DescriptionOfTheServices">
    <vt:lpwstr/>
  </property>
  <property fmtid="{D5CDD505-2E9C-101B-9397-08002B2CF9AE}" pid="79" name="MXcon_DurationEnd">
    <vt:lpwstr/>
  </property>
  <property fmtid="{D5CDD505-2E9C-101B-9397-08002B2CF9AE}" pid="80" name="MXcon_DurationStart">
    <vt:lpwstr/>
  </property>
  <property fmtid="{D5CDD505-2E9C-101B-9397-08002B2CF9AE}" pid="81" name="MXcon_ExpensesDetails">
    <vt:lpwstr/>
  </property>
  <property fmtid="{D5CDD505-2E9C-101B-9397-08002B2CF9AE}" pid="82" name="MXcon_ExternalFundsDetails">
    <vt:lpwstr/>
  </property>
  <property fmtid="{D5CDD505-2E9C-101B-9397-08002B2CF9AE}" pid="83" name="MXcon_Fee">
    <vt:lpwstr/>
  </property>
  <property fmtid="{D5CDD505-2E9C-101B-9397-08002B2CF9AE}" pid="84" name="MXcon_FeeOptions">
    <vt:lpwstr>Hourly</vt:lpwstr>
  </property>
  <property fmtid="{D5CDD505-2E9C-101B-9397-08002B2CF9AE}" pid="85" name="MXcon_FinancedByExternalFunds">
    <vt:lpwstr>False</vt:lpwstr>
  </property>
  <property fmtid="{D5CDD505-2E9C-101B-9397-08002B2CF9AE}" pid="86" name="MXcon_ITEquipment">
    <vt:lpwstr>False</vt:lpwstr>
  </property>
  <property fmtid="{D5CDD505-2E9C-101B-9397-08002B2CF9AE}" pid="87" name="MXcon_ITEquipmentDetails">
    <vt:lpwstr/>
  </property>
  <property fmtid="{D5CDD505-2E9C-101B-9397-08002B2CF9AE}" pid="88" name="MXcon_ImportantCommercialOrOther">
    <vt:lpwstr/>
  </property>
  <property fmtid="{D5CDD505-2E9C-101B-9397-08002B2CF9AE}" pid="89" name="MXcon_NameOfConsultant">
    <vt:lpwstr/>
  </property>
  <property fmtid="{D5CDD505-2E9C-101B-9397-08002B2CF9AE}" pid="90" name="MXcon_NameOfCounterpart">
    <vt:lpwstr/>
  </property>
  <property fmtid="{D5CDD505-2E9C-101B-9397-08002B2CF9AE}" pid="91" name="MXcon_NameOfLineManager">
    <vt:lpwstr/>
  </property>
  <property fmtid="{D5CDD505-2E9C-101B-9397-08002B2CF9AE}" pid="92" name="MXcon_Notified">
    <vt:lpwstr>False</vt:lpwstr>
  </property>
  <property fmtid="{D5CDD505-2E9C-101B-9397-08002B2CF9AE}" pid="93" name="MXcon_OtherExpenses">
    <vt:lpwstr>False</vt:lpwstr>
  </property>
  <property fmtid="{D5CDD505-2E9C-101B-9397-08002B2CF9AE}" pid="94" name="MXcon_OtherRelevantInformation">
    <vt:lpwstr/>
  </property>
  <property fmtid="{D5CDD505-2E9C-101B-9397-08002B2CF9AE}" pid="95" name="MXcon_OtherRelevantInformationDescription">
    <vt:lpwstr/>
  </property>
  <property fmtid="{D5CDD505-2E9C-101B-9397-08002B2CF9AE}" pid="96" name="MXcon_ReasonForExemption">
    <vt:lpwstr/>
  </property>
  <property fmtid="{D5CDD505-2E9C-101B-9397-08002B2CF9AE}" pid="97" name="MXcon_ReportingProcedure">
    <vt:lpwstr/>
  </property>
  <property fmtid="{D5CDD505-2E9C-101B-9397-08002B2CF9AE}" pid="98" name="MXcon_SubjectToProcurement">
    <vt:lpwstr>False</vt:lpwstr>
  </property>
  <property fmtid="{D5CDD505-2E9C-101B-9397-08002B2CF9AE}" pid="99" name="MXcon_TimeScheduleAndMilestonesForCompletion">
    <vt:lpwstr/>
  </property>
  <property fmtid="{D5CDD505-2E9C-101B-9397-08002B2CF9AE}" pid="100" name="MXcon_TravelCap">
    <vt:lpwstr/>
  </property>
  <property fmtid="{D5CDD505-2E9C-101B-9397-08002B2CF9AE}" pid="101" name="MXcon_TravelCost">
    <vt:lpwstr>False</vt:lpwstr>
  </property>
  <property fmtid="{D5CDD505-2E9C-101B-9397-08002B2CF9AE}" pid="102" name="MXdmg_GeneratedFrom">
    <vt:lpwstr/>
  </property>
  <property fmtid="{D5CDD505-2E9C-101B-9397-08002B2CF9AE}" pid="103" name="MXdmg_Language">
    <vt:lpwstr>en</vt:lpwstr>
  </property>
  <property fmtid="{D5CDD505-2E9C-101B-9397-08002B2CF9AE}" pid="104" name="MXdmg_LastSourceFileCheckin">
    <vt:lpwstr>Apr 23, 2025</vt:lpwstr>
  </property>
  <property fmtid="{D5CDD505-2E9C-101B-9397-08002B2CF9AE}" pid="105" name="MXFile Created Date">
    <vt:lpwstr/>
  </property>
  <property fmtid="{D5CDD505-2E9C-101B-9397-08002B2CF9AE}" pid="106" name="MXFile Dimension">
    <vt:lpwstr/>
  </property>
  <property fmtid="{D5CDD505-2E9C-101B-9397-08002B2CF9AE}" pid="107" name="MXFile Duration">
    <vt:lpwstr>0.0</vt:lpwstr>
  </property>
  <property fmtid="{D5CDD505-2E9C-101B-9397-08002B2CF9AE}" pid="108" name="MXFile Modified Date">
    <vt:lpwstr/>
  </property>
  <property fmtid="{D5CDD505-2E9C-101B-9397-08002B2CF9AE}" pid="109" name="MXFile Size">
    <vt:lpwstr>0</vt:lpwstr>
  </property>
  <property fmtid="{D5CDD505-2E9C-101B-9397-08002B2CF9AE}" pid="110" name="MXFile Type">
    <vt:lpwstr/>
  </property>
</Properties>
</file>