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5E" w:rsidRDefault="004F1D4E" w:rsidP="002C6140">
      <w:pPr>
        <w:pStyle w:val="Title"/>
      </w:pPr>
      <w:r>
        <w:t>ACCSYS Reporting</w:t>
      </w:r>
    </w:p>
    <w:p w:rsidR="004F1D4E" w:rsidRDefault="004F1D4E" w:rsidP="004F1D4E">
      <w:r>
        <w:t>S.Gysin, 2013-01-21</w:t>
      </w:r>
    </w:p>
    <w:p w:rsidR="00C13084" w:rsidRDefault="004F1D4E" w:rsidP="004F1D4E">
      <w:r>
        <w:t xml:space="preserve">Below are the steps to complete the monthly reporting </w:t>
      </w:r>
      <w:r w:rsidR="002C6140">
        <w:t xml:space="preserve">and submit deliverables </w:t>
      </w:r>
      <w:r>
        <w:t>for the Work Package</w:t>
      </w:r>
      <w:r w:rsidR="00C13084">
        <w:t>s</w:t>
      </w:r>
      <w:r>
        <w:t xml:space="preserve"> of the ACCSYS project.  </w:t>
      </w:r>
    </w:p>
    <w:p w:rsidR="004F1D4E" w:rsidRDefault="004F1D4E" w:rsidP="004F1D4E">
      <w:r>
        <w:t xml:space="preserve">ACCSYS has 12 work </w:t>
      </w:r>
      <w:r w:rsidR="00A13C20">
        <w:t>packages and</w:t>
      </w:r>
      <w:r>
        <w:t xml:space="preserve"> each has a person responsible for monthly status reporting</w:t>
      </w:r>
      <w:r w:rsidR="004D03F7">
        <w:t xml:space="preserve"> and submitting deliverables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960"/>
        <w:gridCol w:w="4294"/>
      </w:tblGrid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pPr>
              <w:rPr>
                <w:b/>
              </w:rPr>
            </w:pPr>
            <w:r w:rsidRPr="004F1D4E">
              <w:rPr>
                <w:b/>
              </w:rPr>
              <w:t>WBS Code</w:t>
            </w:r>
          </w:p>
        </w:tc>
        <w:tc>
          <w:tcPr>
            <w:tcW w:w="3960" w:type="dxa"/>
          </w:tcPr>
          <w:p w:rsidR="004F1D4E" w:rsidRPr="004F1D4E" w:rsidRDefault="004F1D4E" w:rsidP="00C72ED8">
            <w:pPr>
              <w:rPr>
                <w:b/>
              </w:rPr>
            </w:pPr>
            <w:r w:rsidRPr="004F1D4E">
              <w:rPr>
                <w:b/>
              </w:rPr>
              <w:t>WBS Name</w:t>
            </w:r>
          </w:p>
        </w:tc>
        <w:tc>
          <w:tcPr>
            <w:tcW w:w="4294" w:type="dxa"/>
          </w:tcPr>
          <w:p w:rsidR="004F1D4E" w:rsidRPr="00C13084" w:rsidRDefault="00C13084" w:rsidP="00C72ED8">
            <w:pPr>
              <w:rPr>
                <w:b/>
              </w:rPr>
            </w:pPr>
            <w:r>
              <w:rPr>
                <w:b/>
              </w:rPr>
              <w:t>Responsible for Status R</w:t>
            </w:r>
            <w:r w:rsidR="004F1D4E" w:rsidRPr="00C13084">
              <w:rPr>
                <w:b/>
              </w:rPr>
              <w:t>eporting</w:t>
            </w:r>
            <w:r w:rsidR="004F1D4E" w:rsidRPr="00C13084">
              <w:rPr>
                <w:b/>
              </w:rPr>
              <w:tab/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ACCSYS.1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>Management</w:t>
            </w:r>
          </w:p>
        </w:tc>
        <w:tc>
          <w:tcPr>
            <w:tcW w:w="4294" w:type="dxa"/>
          </w:tcPr>
          <w:p w:rsidR="004F1D4E" w:rsidRPr="00C13084" w:rsidRDefault="004F1D4E" w:rsidP="00C72ED8">
            <w:pPr>
              <w:rPr>
                <w:b/>
              </w:rPr>
            </w:pPr>
            <w:r w:rsidRPr="00C13084">
              <w:rPr>
                <w:b/>
              </w:rPr>
              <w:t>M.Lindroos</w:t>
            </w:r>
            <w:r w:rsidRPr="00C13084">
              <w:rPr>
                <w:b/>
              </w:rPr>
              <w:tab/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ACCSYS.2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>Accelerator Physics</w:t>
            </w:r>
          </w:p>
        </w:tc>
        <w:tc>
          <w:tcPr>
            <w:tcW w:w="4294" w:type="dxa"/>
          </w:tcPr>
          <w:p w:rsidR="004F1D4E" w:rsidRPr="00C13084" w:rsidRDefault="00C13084" w:rsidP="00C72ED8">
            <w:pPr>
              <w:rPr>
                <w:b/>
              </w:rPr>
            </w:pPr>
            <w:r>
              <w:rPr>
                <w:b/>
              </w:rPr>
              <w:t>H.</w:t>
            </w:r>
            <w:r w:rsidRPr="00C13084">
              <w:rPr>
                <w:b/>
              </w:rPr>
              <w:t>Danared</w:t>
            </w:r>
            <w:r w:rsidR="004F1D4E" w:rsidRPr="00C13084">
              <w:rPr>
                <w:b/>
              </w:rPr>
              <w:tab/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ACCSYS.3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>Normal Conducting Front End</w:t>
            </w:r>
          </w:p>
        </w:tc>
        <w:tc>
          <w:tcPr>
            <w:tcW w:w="4294" w:type="dxa"/>
          </w:tcPr>
          <w:p w:rsidR="004F1D4E" w:rsidRPr="00C13084" w:rsidRDefault="004F1D4E" w:rsidP="00C72ED8">
            <w:pPr>
              <w:rPr>
                <w:b/>
              </w:rPr>
            </w:pPr>
            <w:r w:rsidRPr="00C13084">
              <w:rPr>
                <w:b/>
              </w:rPr>
              <w:t>A.Ponton</w:t>
            </w:r>
            <w:r w:rsidRPr="00C13084">
              <w:rPr>
                <w:b/>
              </w:rPr>
              <w:tab/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ACCSYS.4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>Spoke Cavities and Cryomodules</w:t>
            </w:r>
          </w:p>
        </w:tc>
        <w:tc>
          <w:tcPr>
            <w:tcW w:w="4294" w:type="dxa"/>
          </w:tcPr>
          <w:p w:rsidR="004F1D4E" w:rsidRPr="00C13084" w:rsidRDefault="004F1D4E" w:rsidP="00C72ED8">
            <w:pPr>
              <w:rPr>
                <w:b/>
              </w:rPr>
            </w:pPr>
            <w:r w:rsidRPr="00C13084">
              <w:rPr>
                <w:b/>
              </w:rPr>
              <w:t>S.Molloy</w:t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ACCSYS.5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 xml:space="preserve">Elliptical SRF </w:t>
            </w:r>
            <w:proofErr w:type="spellStart"/>
            <w:r w:rsidRPr="004F1D4E">
              <w:t>inc.</w:t>
            </w:r>
            <w:proofErr w:type="spellEnd"/>
            <w:r w:rsidRPr="004F1D4E">
              <w:t xml:space="preserve"> Cryomodules</w:t>
            </w:r>
          </w:p>
        </w:tc>
        <w:tc>
          <w:tcPr>
            <w:tcW w:w="4294" w:type="dxa"/>
          </w:tcPr>
          <w:p w:rsidR="004F1D4E" w:rsidRPr="00C13084" w:rsidRDefault="004F1D4E" w:rsidP="00C72ED8">
            <w:pPr>
              <w:rPr>
                <w:b/>
              </w:rPr>
            </w:pPr>
            <w:r w:rsidRPr="00C13084">
              <w:rPr>
                <w:b/>
              </w:rPr>
              <w:t>C.Darve</w:t>
            </w:r>
            <w:r w:rsidRPr="00C13084">
              <w:rPr>
                <w:b/>
              </w:rPr>
              <w:tab/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ACCSYS.6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>HEBT and Conventional Magnet Systems</w:t>
            </w:r>
          </w:p>
        </w:tc>
        <w:tc>
          <w:tcPr>
            <w:tcW w:w="4294" w:type="dxa"/>
          </w:tcPr>
          <w:p w:rsidR="004F1D4E" w:rsidRPr="00C13084" w:rsidRDefault="004F1D4E" w:rsidP="00C72ED8">
            <w:pPr>
              <w:rPr>
                <w:b/>
              </w:rPr>
            </w:pPr>
            <w:r w:rsidRPr="00C13084">
              <w:rPr>
                <w:b/>
              </w:rPr>
              <w:t>P.Ladd</w:t>
            </w:r>
            <w:r w:rsidRPr="00C13084">
              <w:rPr>
                <w:b/>
              </w:rPr>
              <w:tab/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ACCSYS.7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>Beam Diagnostics</w:t>
            </w:r>
          </w:p>
        </w:tc>
        <w:tc>
          <w:tcPr>
            <w:tcW w:w="4294" w:type="dxa"/>
          </w:tcPr>
          <w:p w:rsidR="004F1D4E" w:rsidRPr="00C13084" w:rsidRDefault="004F1D4E" w:rsidP="00C72ED8">
            <w:pPr>
              <w:rPr>
                <w:b/>
              </w:rPr>
            </w:pPr>
            <w:r w:rsidRPr="00C13084">
              <w:rPr>
                <w:b/>
              </w:rPr>
              <w:t>A.Jansson</w:t>
            </w:r>
            <w:r w:rsidRPr="00C13084">
              <w:rPr>
                <w:b/>
              </w:rPr>
              <w:tab/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ACCSYS.8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>Radio Frequency Systems</w:t>
            </w:r>
          </w:p>
        </w:tc>
        <w:tc>
          <w:tcPr>
            <w:tcW w:w="4294" w:type="dxa"/>
          </w:tcPr>
          <w:p w:rsidR="004F1D4E" w:rsidRPr="00C13084" w:rsidRDefault="004F1D4E" w:rsidP="00C72ED8">
            <w:pPr>
              <w:rPr>
                <w:b/>
              </w:rPr>
            </w:pPr>
            <w:r w:rsidRPr="00C13084">
              <w:rPr>
                <w:b/>
              </w:rPr>
              <w:t>A.Sunesson</w:t>
            </w:r>
            <w:r w:rsidRPr="00C13084">
              <w:rPr>
                <w:b/>
              </w:rPr>
              <w:tab/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ACCSYS.9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>Installation</w:t>
            </w:r>
          </w:p>
        </w:tc>
        <w:tc>
          <w:tcPr>
            <w:tcW w:w="4294" w:type="dxa"/>
          </w:tcPr>
          <w:p w:rsidR="004F1D4E" w:rsidRPr="00C13084" w:rsidRDefault="004F1D4E" w:rsidP="00C72ED8">
            <w:pPr>
              <w:rPr>
                <w:b/>
              </w:rPr>
            </w:pPr>
            <w:r w:rsidRPr="00C13084">
              <w:rPr>
                <w:b/>
              </w:rPr>
              <w:t>G.Lanfranco</w:t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ACCSYS.10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>Test Stands</w:t>
            </w:r>
            <w:r w:rsidRPr="004F1D4E">
              <w:tab/>
            </w:r>
          </w:p>
        </w:tc>
        <w:tc>
          <w:tcPr>
            <w:tcW w:w="4294" w:type="dxa"/>
          </w:tcPr>
          <w:p w:rsidR="004F1D4E" w:rsidRPr="00C13084" w:rsidRDefault="004F1D4E" w:rsidP="00C72ED8">
            <w:pPr>
              <w:rPr>
                <w:b/>
              </w:rPr>
            </w:pPr>
            <w:r w:rsidRPr="00C13084">
              <w:rPr>
                <w:b/>
              </w:rPr>
              <w:t>W.Hees</w:t>
            </w:r>
            <w:r w:rsidRPr="00C13084">
              <w:rPr>
                <w:b/>
              </w:rPr>
              <w:tab/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ACCSYS.11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>Cryogenics</w:t>
            </w:r>
          </w:p>
        </w:tc>
        <w:tc>
          <w:tcPr>
            <w:tcW w:w="4294" w:type="dxa"/>
          </w:tcPr>
          <w:p w:rsidR="004F1D4E" w:rsidRPr="00C13084" w:rsidRDefault="004F1D4E" w:rsidP="00C72ED8">
            <w:pPr>
              <w:rPr>
                <w:b/>
              </w:rPr>
            </w:pPr>
            <w:r w:rsidRPr="00C13084">
              <w:rPr>
                <w:b/>
              </w:rPr>
              <w:t>J.Weisend</w:t>
            </w:r>
            <w:r w:rsidRPr="00C13084">
              <w:rPr>
                <w:b/>
              </w:rPr>
              <w:tab/>
            </w:r>
          </w:p>
        </w:tc>
      </w:tr>
      <w:tr w:rsidR="004F1D4E" w:rsidRPr="004F1D4E" w:rsidTr="004F1D4E">
        <w:tc>
          <w:tcPr>
            <w:tcW w:w="1368" w:type="dxa"/>
          </w:tcPr>
          <w:p w:rsidR="004F1D4E" w:rsidRPr="004F1D4E" w:rsidRDefault="004F1D4E" w:rsidP="00C72ED8">
            <w:r w:rsidRPr="004F1D4E">
              <w:t xml:space="preserve">  ACCSYS.12</w:t>
            </w:r>
          </w:p>
        </w:tc>
        <w:tc>
          <w:tcPr>
            <w:tcW w:w="3960" w:type="dxa"/>
          </w:tcPr>
          <w:p w:rsidR="004F1D4E" w:rsidRPr="004F1D4E" w:rsidRDefault="004F1D4E" w:rsidP="00C72ED8">
            <w:r w:rsidRPr="004F1D4E">
              <w:t>Vacuum</w:t>
            </w:r>
          </w:p>
        </w:tc>
        <w:tc>
          <w:tcPr>
            <w:tcW w:w="4294" w:type="dxa"/>
          </w:tcPr>
          <w:p w:rsidR="004F1D4E" w:rsidRPr="00C13084" w:rsidRDefault="004F1D4E" w:rsidP="00C72ED8">
            <w:pPr>
              <w:rPr>
                <w:b/>
              </w:rPr>
            </w:pPr>
            <w:r w:rsidRPr="00C13084">
              <w:rPr>
                <w:b/>
              </w:rPr>
              <w:t>P.Ladd</w:t>
            </w:r>
            <w:r w:rsidRPr="00C13084">
              <w:rPr>
                <w:b/>
              </w:rPr>
              <w:tab/>
            </w:r>
          </w:p>
        </w:tc>
      </w:tr>
    </w:tbl>
    <w:p w:rsidR="002C6140" w:rsidRDefault="002C6140" w:rsidP="002C6140">
      <w:pPr>
        <w:pStyle w:val="Heading1"/>
      </w:pPr>
      <w:r>
        <w:t>Monthly Status Report</w:t>
      </w:r>
    </w:p>
    <w:p w:rsidR="00E90CCE" w:rsidRDefault="004F1D4E" w:rsidP="00E90CCE">
      <w:r>
        <w:t>The monthly reports</w:t>
      </w:r>
      <w:r w:rsidR="002C6140">
        <w:t xml:space="preserve"> </w:t>
      </w:r>
      <w:r w:rsidR="00C13084">
        <w:t>are to be submitted to</w:t>
      </w:r>
      <w:r>
        <w:t xml:space="preserve"> Alfresco on </w:t>
      </w:r>
      <w:r w:rsidRPr="00C13084">
        <w:rPr>
          <w:b/>
        </w:rPr>
        <w:t xml:space="preserve">the </w:t>
      </w:r>
      <w:r w:rsidR="00711DC0">
        <w:rPr>
          <w:b/>
        </w:rPr>
        <w:t>7</w:t>
      </w:r>
      <w:r w:rsidRPr="00C13084">
        <w:rPr>
          <w:b/>
          <w:vertAlign w:val="superscript"/>
        </w:rPr>
        <w:t>th</w:t>
      </w:r>
      <w:r w:rsidR="00C13084" w:rsidRPr="00C13084">
        <w:rPr>
          <w:b/>
        </w:rPr>
        <w:t xml:space="preserve"> of the month</w:t>
      </w:r>
      <w:r>
        <w:t>. The reporting period covers the first to the last day of the previous month.</w:t>
      </w:r>
      <w:r w:rsidR="00E90CCE">
        <w:t xml:space="preserve"> There are two forms to fill out: the Schedule Updates and the Monthly Reports.</w:t>
      </w:r>
    </w:p>
    <w:p w:rsidR="004F1D4E" w:rsidRDefault="002C6140" w:rsidP="004F1D4E">
      <w:r>
        <w:t>Steps for monthly reporting</w:t>
      </w:r>
      <w:r w:rsidR="00A13C20">
        <w:t>:</w:t>
      </w:r>
    </w:p>
    <w:p w:rsidR="004F1D4E" w:rsidRDefault="004F1D4E" w:rsidP="004F1D4E">
      <w:pPr>
        <w:pStyle w:val="ListParagraph"/>
        <w:numPr>
          <w:ilvl w:val="0"/>
          <w:numId w:val="1"/>
        </w:numPr>
      </w:pPr>
      <w:r>
        <w:t xml:space="preserve">Download the </w:t>
      </w:r>
      <w:r w:rsidRPr="008D5194">
        <w:rPr>
          <w:b/>
        </w:rPr>
        <w:t xml:space="preserve">current </w:t>
      </w:r>
      <w:r w:rsidR="008D5194" w:rsidRPr="008D5194">
        <w:rPr>
          <w:b/>
        </w:rPr>
        <w:t xml:space="preserve">project </w:t>
      </w:r>
      <w:r w:rsidR="00CD6248">
        <w:rPr>
          <w:b/>
        </w:rPr>
        <w:t>status</w:t>
      </w:r>
      <w:r w:rsidR="008D5194">
        <w:rPr>
          <w:b/>
        </w:rPr>
        <w:t xml:space="preserve"> </w:t>
      </w:r>
      <w:r w:rsidR="00CD6248">
        <w:rPr>
          <w:b/>
        </w:rPr>
        <w:t>spreadsheet</w:t>
      </w:r>
      <w:r>
        <w:t xml:space="preserve"> from Alfresco.</w:t>
      </w:r>
    </w:p>
    <w:p w:rsidR="00424ECF" w:rsidRDefault="00424ECF" w:rsidP="00424ECF">
      <w:pPr>
        <w:pStyle w:val="ListParagraph"/>
        <w:numPr>
          <w:ilvl w:val="1"/>
          <w:numId w:val="1"/>
        </w:numPr>
      </w:pPr>
      <w:r>
        <w:t>In Alfresco go to: Construction/WPL Reporting 2013</w:t>
      </w:r>
      <w:r w:rsidR="008D5194">
        <w:t>/ and</w:t>
      </w:r>
      <w:r>
        <w:t xml:space="preserve"> find </w:t>
      </w:r>
      <w:r w:rsidR="008D5194">
        <w:t>the reporting period.  For January 2013 this is:</w:t>
      </w:r>
    </w:p>
    <w:p w:rsidR="004F1D4E" w:rsidRDefault="00583227" w:rsidP="00424ECF">
      <w:pPr>
        <w:ind w:left="1080"/>
      </w:pPr>
      <w:hyperlink r:id="rId6" w:anchor="filter=path|%2FConstruction%2FWPL%2520Reporting%25202013" w:history="1">
        <w:r w:rsidR="00424ECF" w:rsidRPr="00110F31">
          <w:rPr>
            <w:rStyle w:val="Hyperlink"/>
          </w:rPr>
          <w:t>http://esss.idom.com:8080/share/page/site/ACC/documentlibrary#filter=path|%2FConstruction%2FWPL%2520Reporting%25202013</w:t>
        </w:r>
      </w:hyperlink>
      <w:r w:rsidR="00424ECF">
        <w:t xml:space="preserve"> </w:t>
      </w:r>
    </w:p>
    <w:p w:rsidR="00424ECF" w:rsidRDefault="00424ECF" w:rsidP="00424ECF">
      <w:pPr>
        <w:pStyle w:val="ListParagraph"/>
        <w:numPr>
          <w:ilvl w:val="1"/>
          <w:numId w:val="1"/>
        </w:numPr>
      </w:pPr>
      <w:r>
        <w:t>Download the file called “</w:t>
      </w:r>
      <w:r w:rsidR="00A7473F">
        <w:t>ACCSYS Schedule Updates</w:t>
      </w:r>
      <w:r>
        <w:t xml:space="preserve"> January 2013.xlsx”, where </w:t>
      </w:r>
      <w:r w:rsidR="00A7473F">
        <w:t>‘</w:t>
      </w:r>
      <w:r>
        <w:t>January</w:t>
      </w:r>
      <w:r w:rsidR="00A7473F">
        <w:t>’</w:t>
      </w:r>
      <w:r>
        <w:t xml:space="preserve"> is always replace with the reporting period month.</w:t>
      </w:r>
    </w:p>
    <w:p w:rsidR="004D03F7" w:rsidRDefault="004D03F7" w:rsidP="004D03F7">
      <w:pPr>
        <w:pStyle w:val="ListParagraph"/>
        <w:ind w:left="1440"/>
      </w:pPr>
    </w:p>
    <w:p w:rsidR="00424ECF" w:rsidRDefault="00424ECF" w:rsidP="00424ECF">
      <w:pPr>
        <w:pStyle w:val="ListParagraph"/>
        <w:numPr>
          <w:ilvl w:val="0"/>
          <w:numId w:val="1"/>
        </w:numPr>
      </w:pPr>
      <w:r>
        <w:t>Fill in the 3 fields for each activity under the work packages in the down loaded spread sheet:</w:t>
      </w:r>
    </w:p>
    <w:p w:rsidR="00424ECF" w:rsidRDefault="00424ECF" w:rsidP="00424ECF">
      <w:pPr>
        <w:pStyle w:val="ListParagraph"/>
        <w:numPr>
          <w:ilvl w:val="0"/>
          <w:numId w:val="2"/>
        </w:numPr>
      </w:pPr>
      <w:r>
        <w:t>Actual Start</w:t>
      </w:r>
      <w:r w:rsidR="00583227">
        <w:t>: when the activity has started</w:t>
      </w:r>
    </w:p>
    <w:p w:rsidR="00424ECF" w:rsidRDefault="00424ECF" w:rsidP="00424ECF">
      <w:pPr>
        <w:pStyle w:val="ListParagraph"/>
        <w:numPr>
          <w:ilvl w:val="0"/>
          <w:numId w:val="2"/>
        </w:numPr>
      </w:pPr>
      <w:r>
        <w:lastRenderedPageBreak/>
        <w:t>Actual Finish</w:t>
      </w:r>
      <w:r w:rsidR="00583227">
        <w:t>: when the activity has finished</w:t>
      </w:r>
    </w:p>
    <w:p w:rsidR="00424ECF" w:rsidRDefault="00583227" w:rsidP="00424ECF">
      <w:pPr>
        <w:pStyle w:val="ListParagraph"/>
        <w:numPr>
          <w:ilvl w:val="0"/>
          <w:numId w:val="2"/>
        </w:numPr>
      </w:pPr>
      <w:r>
        <w:t xml:space="preserve">Remaining Duration : the remaining duration in weeks from the end of the reporting period </w:t>
      </w:r>
      <w:bookmarkStart w:id="0" w:name="_GoBack"/>
      <w:bookmarkEnd w:id="0"/>
    </w:p>
    <w:p w:rsidR="004D03F7" w:rsidRDefault="004D03F7" w:rsidP="004D03F7">
      <w:pPr>
        <w:pStyle w:val="ListParagraph"/>
        <w:ind w:left="1800"/>
      </w:pPr>
    </w:p>
    <w:p w:rsidR="00424ECF" w:rsidRDefault="00C13084" w:rsidP="00C13084">
      <w:pPr>
        <w:pStyle w:val="ListParagraph"/>
        <w:numPr>
          <w:ilvl w:val="0"/>
          <w:numId w:val="1"/>
        </w:numPr>
      </w:pPr>
      <w:r>
        <w:t>Upload the</w:t>
      </w:r>
      <w:r w:rsidR="00424ECF">
        <w:t xml:space="preserve"> spreadsheet as: “</w:t>
      </w:r>
      <w:r w:rsidR="00424ECF" w:rsidRPr="00424ECF">
        <w:rPr>
          <w:b/>
        </w:rPr>
        <w:t>WPXX</w:t>
      </w:r>
      <w:r w:rsidR="00424ECF">
        <w:t xml:space="preserve">_ </w:t>
      </w:r>
      <w:r w:rsidR="00A7473F">
        <w:t xml:space="preserve">ACCSYS Schedule Updates January </w:t>
      </w:r>
      <w:r w:rsidR="00424ECF">
        <w:t xml:space="preserve">2013.xlsx”, where XX is the specific WP number. </w:t>
      </w:r>
      <w:r>
        <w:t xml:space="preserve"> Place it in Alfresco under: Construction/WPL Reporting 2013/&lt;month&gt;/Schedule Updates.</w:t>
      </w:r>
    </w:p>
    <w:p w:rsidR="008D5194" w:rsidRDefault="00E90CCE" w:rsidP="00C13084">
      <w:pPr>
        <w:pStyle w:val="ListParagraph"/>
        <w:numPr>
          <w:ilvl w:val="0"/>
          <w:numId w:val="1"/>
        </w:numPr>
      </w:pPr>
      <w:r>
        <w:t>Down load the Work Package Status Report Template from Alfresco at: Construction/WPL Reporting 2013 :</w:t>
      </w:r>
    </w:p>
    <w:p w:rsidR="00E90CCE" w:rsidRDefault="00583227" w:rsidP="00E90CCE">
      <w:pPr>
        <w:pStyle w:val="ListParagraph"/>
      </w:pPr>
      <w:hyperlink r:id="rId7" w:history="1">
        <w:r w:rsidR="00E90CCE" w:rsidRPr="00110F31">
          <w:rPr>
            <w:rStyle w:val="Hyperlink"/>
          </w:rPr>
          <w:t>http://esss.idom.com:8080/share/page/site/ACC/document-details?nodeRef=workspace://SpacesStore/0d8c4289-0b66-4921-baf4-fed7f8d42358</w:t>
        </w:r>
      </w:hyperlink>
      <w:r w:rsidR="00E90CCE">
        <w:t xml:space="preserve"> </w:t>
      </w:r>
    </w:p>
    <w:p w:rsidR="00C13084" w:rsidRDefault="00E90CCE" w:rsidP="00E90CCE">
      <w:pPr>
        <w:pStyle w:val="ListParagraph"/>
        <w:numPr>
          <w:ilvl w:val="0"/>
          <w:numId w:val="1"/>
        </w:numPr>
      </w:pPr>
      <w:r>
        <w:t xml:space="preserve">Fill out the text, and name the file </w:t>
      </w:r>
      <w:r w:rsidRPr="00A7473F">
        <w:rPr>
          <w:b/>
        </w:rPr>
        <w:t>“WPXX</w:t>
      </w:r>
      <w:r>
        <w:t xml:space="preserve"> </w:t>
      </w:r>
      <w:r w:rsidR="00A7473F">
        <w:t xml:space="preserve">_ACCSYS </w:t>
      </w:r>
      <w:r w:rsidR="009966B7">
        <w:t>Monthly Report</w:t>
      </w:r>
      <w:r w:rsidR="00A7473F">
        <w:t xml:space="preserve"> January</w:t>
      </w:r>
      <w:r>
        <w:t>.docx”. Wher</w:t>
      </w:r>
      <w:r w:rsidR="009966B7">
        <w:t>e XX is the specific WP number and “January” is replaced with the current reporting period.</w:t>
      </w:r>
    </w:p>
    <w:p w:rsidR="00E90CCE" w:rsidRDefault="00E90CCE" w:rsidP="00E90CCE">
      <w:pPr>
        <w:pStyle w:val="ListParagraph"/>
        <w:numPr>
          <w:ilvl w:val="0"/>
          <w:numId w:val="1"/>
        </w:numPr>
      </w:pPr>
      <w:r>
        <w:t>Upload the Status report to Alfresco under:</w:t>
      </w:r>
      <w:r w:rsidRPr="00E90CCE">
        <w:t xml:space="preserve"> </w:t>
      </w:r>
      <w:r>
        <w:t>Construction/WPL Reporting 2013/&lt;month&gt;/Monthly Reports.</w:t>
      </w:r>
    </w:p>
    <w:p w:rsidR="00E90CCE" w:rsidRDefault="00E90CCE" w:rsidP="00E90CCE">
      <w:pPr>
        <w:pStyle w:val="ListParagraph"/>
      </w:pPr>
    </w:p>
    <w:p w:rsidR="004F1D4E" w:rsidRDefault="008D5194" w:rsidP="00C13084">
      <w:pPr>
        <w:pStyle w:val="Heading2"/>
      </w:pPr>
      <w:r>
        <w:t>Actual Labor Units and Expense reporting</w:t>
      </w:r>
      <w:r w:rsidR="00C13084">
        <w:t xml:space="preserve"> for External Work Packages</w:t>
      </w:r>
    </w:p>
    <w:p w:rsidR="00C13084" w:rsidRDefault="00C13084" w:rsidP="00C13084">
      <w:r>
        <w:t xml:space="preserve">For internal work packages, ESS uses the time reporting and invoices to track actual cost. For external work packages this information is not automatically available and has to be manually </w:t>
      </w:r>
      <w:r w:rsidR="008D5194">
        <w:t xml:space="preserve">recorded. </w:t>
      </w:r>
      <w:r>
        <w:t xml:space="preserve">Therefore, we ask that for external work </w:t>
      </w:r>
      <w:r w:rsidR="004D03F7">
        <w:t xml:space="preserve">packages to </w:t>
      </w:r>
      <w:r w:rsidR="008D5194">
        <w:t>report</w:t>
      </w:r>
      <w:r>
        <w:t xml:space="preserve"> the “Actual Labor Units” and “Non Labor Expenses</w:t>
      </w:r>
      <w:r w:rsidR="002C6140">
        <w:t>” on</w:t>
      </w:r>
      <w:r>
        <w:t xml:space="preserve"> a monthly basis</w:t>
      </w:r>
      <w:r w:rsidR="008D5194">
        <w:t xml:space="preserve"> in this status report</w:t>
      </w:r>
      <w:r>
        <w:t>.</w:t>
      </w:r>
    </w:p>
    <w:p w:rsidR="008D5194" w:rsidRPr="00CD6248" w:rsidRDefault="00C13084" w:rsidP="00C13084">
      <w:r>
        <w:t>We realize that the hours and invoices at our collaborating laboratories may not be available by the 7</w:t>
      </w:r>
      <w:r w:rsidRPr="00C13084">
        <w:rPr>
          <w:vertAlign w:val="superscript"/>
        </w:rPr>
        <w:t>th</w:t>
      </w:r>
      <w:r>
        <w:t xml:space="preserve"> of </w:t>
      </w:r>
      <w:r w:rsidRPr="00CD6248">
        <w:t xml:space="preserve">the month.  Therefore, the reporting period </w:t>
      </w:r>
      <w:r w:rsidR="008D5194" w:rsidRPr="00CD6248">
        <w:t xml:space="preserve">for these may lag by one month.  The Actual Labor Units and the expenses should be reported cumulative, with a time stamp of the </w:t>
      </w:r>
      <w:r w:rsidR="00E90CCE" w:rsidRPr="00CD6248">
        <w:t>relative reporting period.</w:t>
      </w:r>
    </w:p>
    <w:p w:rsidR="00C13084" w:rsidRDefault="002C6140" w:rsidP="002C6140">
      <w:pPr>
        <w:pStyle w:val="Heading1"/>
      </w:pPr>
      <w:r>
        <w:t xml:space="preserve">Submitting Deliverables and Completing </w:t>
      </w:r>
      <w:r w:rsidR="00CD6248">
        <w:t>Milestones</w:t>
      </w:r>
    </w:p>
    <w:p w:rsidR="00CD6248" w:rsidRDefault="00CD6248" w:rsidP="00CD6248">
      <w:r>
        <w:t xml:space="preserve">The project plan has milestones </w:t>
      </w:r>
      <w:r w:rsidR="002C6140">
        <w:t>with</w:t>
      </w:r>
      <w:r>
        <w:t xml:space="preserve"> a date a deliverable is due. </w:t>
      </w:r>
      <w:r w:rsidR="002C6140">
        <w:t xml:space="preserve">Milestones have no duration or cost, they are very binary, either complete or not. </w:t>
      </w:r>
      <w:r>
        <w:t xml:space="preserve">Each milestone has a </w:t>
      </w:r>
      <w:r w:rsidR="002C6140">
        <w:t xml:space="preserve">tangible and </w:t>
      </w:r>
      <w:r>
        <w:t>phys</w:t>
      </w:r>
      <w:r w:rsidR="002C6140">
        <w:t xml:space="preserve">ical deliverable </w:t>
      </w:r>
      <w:r>
        <w:t>that is to be delivered that day. For example, the meeting</w:t>
      </w:r>
      <w:r w:rsidR="004D03F7">
        <w:t xml:space="preserve"> notes </w:t>
      </w:r>
      <w:r>
        <w:t>of a design review or the call for tender for the cavities.</w:t>
      </w:r>
    </w:p>
    <w:p w:rsidR="00CD6248" w:rsidRDefault="002C6140" w:rsidP="00CD6248">
      <w:r>
        <w:t>Logistics of completing a</w:t>
      </w:r>
      <w:r w:rsidR="00CD6248">
        <w:t xml:space="preserve"> milestone</w:t>
      </w:r>
      <w:r>
        <w:t xml:space="preserve"> and submitting a deliverable</w:t>
      </w:r>
      <w:r w:rsidR="00CD6248">
        <w:t>:</w:t>
      </w:r>
    </w:p>
    <w:p w:rsidR="00CD6248" w:rsidRDefault="002C6140" w:rsidP="00CD6248">
      <w:pPr>
        <w:pStyle w:val="ListParagraph"/>
        <w:numPr>
          <w:ilvl w:val="0"/>
          <w:numId w:val="3"/>
        </w:numPr>
      </w:pPr>
      <w:r>
        <w:t>The WP responsible emails the</w:t>
      </w:r>
      <w:r w:rsidR="00CD6248">
        <w:t xml:space="preserve"> document to the Planning Manager (PM) (</w:t>
      </w:r>
      <w:hyperlink r:id="rId8" w:history="1">
        <w:r w:rsidR="00CD6248" w:rsidRPr="00F17B3B">
          <w:rPr>
            <w:rStyle w:val="Hyperlink"/>
          </w:rPr>
          <w:t>suzanne.gysin@esss.se</w:t>
        </w:r>
      </w:hyperlink>
      <w:r w:rsidR="00CD6248">
        <w:t>)</w:t>
      </w:r>
      <w:r>
        <w:t xml:space="preserve"> and notes what milestone this deliverable completes.</w:t>
      </w:r>
    </w:p>
    <w:p w:rsidR="00CD6248" w:rsidRDefault="00CD6248" w:rsidP="00CD6248">
      <w:pPr>
        <w:pStyle w:val="ListParagraph"/>
        <w:numPr>
          <w:ilvl w:val="0"/>
          <w:numId w:val="3"/>
        </w:numPr>
      </w:pPr>
      <w:r>
        <w:t xml:space="preserve">The PM </w:t>
      </w:r>
      <w:r w:rsidR="002C6140">
        <w:t xml:space="preserve">checks </w:t>
      </w:r>
      <w:r>
        <w:t xml:space="preserve"> it </w:t>
      </w:r>
      <w:r w:rsidR="002C6140">
        <w:t xml:space="preserve">for logistical value </w:t>
      </w:r>
      <w:r>
        <w:t>and if it is acceptable, adds the following meta data to the document:</w:t>
      </w:r>
    </w:p>
    <w:p w:rsidR="00CD6248" w:rsidRDefault="002C6140" w:rsidP="00CD6248">
      <w:pPr>
        <w:pStyle w:val="ListParagraph"/>
        <w:numPr>
          <w:ilvl w:val="1"/>
          <w:numId w:val="3"/>
        </w:numPr>
      </w:pPr>
      <w:r>
        <w:t>r</w:t>
      </w:r>
      <w:r w:rsidR="00CD6248">
        <w:t>evision</w:t>
      </w:r>
    </w:p>
    <w:p w:rsidR="00CD6248" w:rsidRDefault="00CD6248" w:rsidP="00CD6248">
      <w:pPr>
        <w:pStyle w:val="ListParagraph"/>
        <w:numPr>
          <w:ilvl w:val="1"/>
          <w:numId w:val="3"/>
        </w:numPr>
      </w:pPr>
      <w:r>
        <w:t xml:space="preserve">timestamp </w:t>
      </w:r>
    </w:p>
    <w:p w:rsidR="00CD6248" w:rsidRDefault="00CD6248" w:rsidP="00CD6248">
      <w:pPr>
        <w:pStyle w:val="ListParagraph"/>
        <w:numPr>
          <w:ilvl w:val="1"/>
          <w:numId w:val="3"/>
        </w:numPr>
      </w:pPr>
      <w:r>
        <w:t>sender’s name</w:t>
      </w:r>
    </w:p>
    <w:p w:rsidR="00CD6248" w:rsidRDefault="00CD6248" w:rsidP="00CD6248">
      <w:pPr>
        <w:pStyle w:val="ListParagraph"/>
        <w:numPr>
          <w:ilvl w:val="1"/>
          <w:numId w:val="3"/>
        </w:numPr>
      </w:pPr>
      <w:r>
        <w:lastRenderedPageBreak/>
        <w:t>WP/WU and activity ID</w:t>
      </w:r>
    </w:p>
    <w:p w:rsidR="00CD6248" w:rsidRDefault="00CD6248" w:rsidP="00CD6248">
      <w:pPr>
        <w:pStyle w:val="ListParagraph"/>
        <w:numPr>
          <w:ilvl w:val="1"/>
          <w:numId w:val="3"/>
        </w:numPr>
      </w:pPr>
      <w:r>
        <w:t>expected date</w:t>
      </w:r>
    </w:p>
    <w:p w:rsidR="00CD6248" w:rsidRDefault="002C6140" w:rsidP="00CD6248">
      <w:pPr>
        <w:pStyle w:val="ListParagraph"/>
        <w:numPr>
          <w:ilvl w:val="0"/>
          <w:numId w:val="3"/>
        </w:numPr>
      </w:pPr>
      <w:r>
        <w:t>The PM uploads the deliverable to Alfresco at:</w:t>
      </w:r>
      <w:r w:rsidR="00CD6248">
        <w:t xml:space="preserve"> /Construction/Deliverables</w:t>
      </w:r>
    </w:p>
    <w:p w:rsidR="002C6140" w:rsidRDefault="002C6140" w:rsidP="00CD6248">
      <w:pPr>
        <w:pStyle w:val="ListParagraph"/>
        <w:numPr>
          <w:ilvl w:val="0"/>
          <w:numId w:val="3"/>
        </w:numPr>
      </w:pPr>
      <w:r>
        <w:t>The PM marks the milestone complete in Primavera</w:t>
      </w:r>
    </w:p>
    <w:p w:rsidR="00CD6248" w:rsidRDefault="00CD6248" w:rsidP="00CD6248">
      <w:pPr>
        <w:ind w:left="360"/>
      </w:pPr>
      <w:r>
        <w:t>At this time the mileston</w:t>
      </w:r>
      <w:r w:rsidR="002C6140">
        <w:t>e is considered complete.</w:t>
      </w:r>
    </w:p>
    <w:p w:rsidR="00CD6248" w:rsidRDefault="00CD6248" w:rsidP="00CD6248">
      <w:r>
        <w:t>Steps to review the</w:t>
      </w:r>
      <w:r w:rsidR="002C6140">
        <w:t xml:space="preserve"> quality of the</w:t>
      </w:r>
      <w:r>
        <w:t xml:space="preserve"> deliverable:</w:t>
      </w:r>
    </w:p>
    <w:p w:rsidR="00CD6248" w:rsidRDefault="002C6140" w:rsidP="00CD6248">
      <w:pPr>
        <w:pStyle w:val="ListParagraph"/>
        <w:numPr>
          <w:ilvl w:val="0"/>
          <w:numId w:val="4"/>
        </w:numPr>
      </w:pPr>
      <w:r>
        <w:t>Once</w:t>
      </w:r>
      <w:r w:rsidR="00CD6248">
        <w:t xml:space="preserve"> the deliverable is </w:t>
      </w:r>
      <w:r>
        <w:t>uploaded to</w:t>
      </w:r>
      <w:r w:rsidR="00CD6248">
        <w:t xml:space="preserve"> Alfresco, the PM notifies the management team (M.Lindroos, D.McGinnis, </w:t>
      </w:r>
      <w:r>
        <w:t>J.Weisend)</w:t>
      </w:r>
    </w:p>
    <w:p w:rsidR="002C6140" w:rsidRDefault="002C6140" w:rsidP="00CD6248">
      <w:pPr>
        <w:pStyle w:val="ListParagraph"/>
        <w:numPr>
          <w:ilvl w:val="0"/>
          <w:numId w:val="4"/>
        </w:numPr>
      </w:pPr>
      <w:r>
        <w:t>The management team reviews the deliverable for quality and technical content. If the deliverable needs revision, a new deliverable is scheduled to address the deficiencies or additions.</w:t>
      </w:r>
    </w:p>
    <w:p w:rsidR="00CD6248" w:rsidRDefault="00CD6248" w:rsidP="00CD6248"/>
    <w:p w:rsidR="00CD6248" w:rsidRPr="00CD6248" w:rsidRDefault="00CD6248" w:rsidP="00CD6248"/>
    <w:sectPr w:rsidR="00CD6248" w:rsidRPr="00CD62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4A2C"/>
    <w:multiLevelType w:val="hybridMultilevel"/>
    <w:tmpl w:val="06B47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927DF"/>
    <w:multiLevelType w:val="hybridMultilevel"/>
    <w:tmpl w:val="86D2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88B"/>
    <w:multiLevelType w:val="hybridMultilevel"/>
    <w:tmpl w:val="BCA831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500F70"/>
    <w:multiLevelType w:val="hybridMultilevel"/>
    <w:tmpl w:val="91BA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4E"/>
    <w:rsid w:val="002C6140"/>
    <w:rsid w:val="003A5D9D"/>
    <w:rsid w:val="00424ECF"/>
    <w:rsid w:val="004D03F7"/>
    <w:rsid w:val="004F1D4E"/>
    <w:rsid w:val="00583227"/>
    <w:rsid w:val="005F4198"/>
    <w:rsid w:val="00711DC0"/>
    <w:rsid w:val="00866F5E"/>
    <w:rsid w:val="008D5194"/>
    <w:rsid w:val="009966B7"/>
    <w:rsid w:val="00A13C20"/>
    <w:rsid w:val="00A7473F"/>
    <w:rsid w:val="00C13084"/>
    <w:rsid w:val="00CD6248"/>
    <w:rsid w:val="00E90CCE"/>
    <w:rsid w:val="00E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F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E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13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61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61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F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E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13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61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61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.gysin@esss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sss.idom.com:8080/share/page/site/ACC/document-details?nodeRef=workspace://SpacesStore/0d8c4289-0b66-4921-baf4-fed7f8d423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ss.idom.com:8080/share/page/site/ACC/documentlibrar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sgysin</dc:creator>
  <cp:lastModifiedBy>sgysin</cp:lastModifiedBy>
  <cp:revision>8</cp:revision>
  <dcterms:created xsi:type="dcterms:W3CDTF">2013-01-21T09:32:00Z</dcterms:created>
  <dcterms:modified xsi:type="dcterms:W3CDTF">2013-01-23T14:31:00Z</dcterms:modified>
</cp:coreProperties>
</file>